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65326D76" w:rsidR="005B457C" w:rsidRPr="00906322" w:rsidRDefault="00AE2FB0" w:rsidP="00906322">
      <w:pPr>
        <w:spacing w:line="360" w:lineRule="auto"/>
        <w:rPr>
          <w:rFonts w:ascii="Tahoma" w:eastAsia="Times New Roman" w:hAnsi="Tahoma" w:cs="Tahoma"/>
          <w:b/>
          <w:bCs/>
          <w:color w:val="000000" w:themeColor="text1"/>
          <w:sz w:val="24"/>
          <w:szCs w:val="24"/>
        </w:rPr>
      </w:pPr>
      <w:r w:rsidRPr="00AE2FB0">
        <w:rPr>
          <w:rFonts w:ascii="Tahoma" w:eastAsia="Tahoma" w:hAnsi="Tahoma" w:cs="Tahoma"/>
          <w:sz w:val="20"/>
          <w:szCs w:val="20"/>
        </w:rPr>
        <w:t>T</w:t>
      </w:r>
      <w:r>
        <w:rPr>
          <w:rFonts w:ascii="Tahoma" w:eastAsia="Tahoma" w:hAnsi="Tahoma" w:cs="Tahoma"/>
          <w:sz w:val="20"/>
          <w:szCs w:val="20"/>
        </w:rPr>
        <w:t>ietojenkäsittelyn t</w:t>
      </w:r>
      <w:r w:rsidRPr="00AE2FB0">
        <w:rPr>
          <w:rFonts w:ascii="Tahoma" w:eastAsia="Tahoma" w:hAnsi="Tahoma" w:cs="Tahoma"/>
          <w:sz w:val="20"/>
          <w:szCs w:val="20"/>
        </w:rPr>
        <w:t>raden</w:t>
      </w:r>
      <w:r>
        <w:rPr>
          <w:rFonts w:ascii="Tahoma" w:eastAsia="Tahoma" w:hAnsi="Tahoma" w:cs="Tahoma"/>
          <w:sz w:val="20"/>
          <w:szCs w:val="20"/>
        </w:rPr>
        <w:t>o</w:t>
      </w:r>
      <w:r w:rsidRPr="00AE2FB0">
        <w:rPr>
          <w:rFonts w:ascii="Tahoma" w:eastAsia="Tahoma" w:hAnsi="Tahoma" w:cs="Tahoma"/>
          <w:sz w:val="20"/>
          <w:szCs w:val="20"/>
        </w:rPr>
        <w:t>min</w:t>
      </w:r>
      <w:r w:rsidR="45983B1C" w:rsidRPr="00AE2FB0">
        <w:rPr>
          <w:rFonts w:ascii="Tahoma" w:eastAsia="Tahoma" w:hAnsi="Tahoma" w:cs="Tahoma"/>
          <w:sz w:val="20"/>
          <w:szCs w:val="20"/>
        </w:rPr>
        <w:t xml:space="preserve"> koulutus on eurooppalaista </w:t>
      </w:r>
      <w:r w:rsidR="45983B1C" w:rsidRPr="513A8252">
        <w:rPr>
          <w:rFonts w:ascii="Tahoma" w:eastAsia="Tahoma" w:hAnsi="Tahoma" w:cs="Tahoma"/>
          <w:sz w:val="20"/>
          <w:szCs w:val="20"/>
        </w:rPr>
        <w:t>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664B7AA9" w:rsidR="513A8252" w:rsidRDefault="00E44D59" w:rsidP="513A8252">
      <w:pPr>
        <w:rPr>
          <w:rFonts w:ascii="Tahoma" w:eastAsia="Tahoma" w:hAnsi="Tahoma" w:cs="Tahoma"/>
          <w:color w:val="000000" w:themeColor="text1"/>
          <w:sz w:val="20"/>
          <w:szCs w:val="20"/>
          <w:lang w:val="fi"/>
        </w:rPr>
      </w:pPr>
      <w:r w:rsidRPr="00E44D59">
        <w:rPr>
          <w:rFonts w:ascii="Tahoma" w:eastAsia="Tahoma" w:hAnsi="Tahoma" w:cs="Tahoma"/>
          <w:sz w:val="20"/>
          <w:szCs w:val="20"/>
          <w:lang w:val="fi"/>
        </w:rPr>
        <w:t xml:space="preserve">Tietojenkäsittelyn tradenomin </w:t>
      </w:r>
      <w:r w:rsidR="513A8252" w:rsidRPr="00E44D59">
        <w:rPr>
          <w:rFonts w:ascii="Tahoma" w:eastAsia="Tahoma" w:hAnsi="Tahoma" w:cs="Tahoma"/>
          <w:sz w:val="20"/>
          <w:szCs w:val="20"/>
          <w:lang w:val="fi"/>
        </w:rPr>
        <w:t xml:space="preserve">osaamisprofiili muodostuu yleisistä ja tutkinto-ohjelmakohtaisista kompetensseista. Yleisten kompetenssien </w:t>
      </w:r>
      <w:r w:rsidR="513A8252" w:rsidRPr="513A8252">
        <w:rPr>
          <w:rFonts w:ascii="Tahoma" w:eastAsia="Tahoma" w:hAnsi="Tahoma" w:cs="Tahoma"/>
          <w:color w:val="000000" w:themeColor="text1"/>
          <w:sz w:val="20"/>
          <w:szCs w:val="20"/>
          <w:lang w:val="fi"/>
        </w:rPr>
        <w:t xml:space="preserve">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EE7636" w:rsidRDefault="61205BC3">
                  <w:pPr>
                    <w:rPr>
                      <w:rFonts w:ascii="Tahoma" w:hAnsi="Tahoma" w:cs="Tahoma"/>
                      <w:sz w:val="20"/>
                      <w:szCs w:val="20"/>
                    </w:rPr>
                  </w:pPr>
                  <w:r w:rsidRPr="00EE7636">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434"/>
      </w:tblGrid>
      <w:tr w:rsidR="00956707" w:rsidRPr="00956707" w14:paraId="01A0A9EB" w14:textId="77777777" w:rsidTr="5B110CFA">
        <w:tc>
          <w:tcPr>
            <w:tcW w:w="2805" w:type="dxa"/>
            <w:tcBorders>
              <w:top w:val="single" w:sz="6" w:space="0" w:color="auto"/>
              <w:left w:val="single" w:sz="6" w:space="0" w:color="auto"/>
              <w:bottom w:val="single" w:sz="6" w:space="0" w:color="auto"/>
              <w:right w:val="single" w:sz="6" w:space="0" w:color="auto"/>
            </w:tcBorders>
            <w:shd w:val="clear" w:color="auto" w:fill="31A3B5"/>
            <w:hideMark/>
          </w:tcPr>
          <w:p w14:paraId="6602EE2E" w14:textId="77777777" w:rsidR="00956707" w:rsidRPr="005C390C" w:rsidRDefault="00956707" w:rsidP="00956707">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p>
          <w:p w14:paraId="40DB6979" w14:textId="3351B4CD" w:rsidR="00956707" w:rsidRDefault="00156C86" w:rsidP="00956707">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r>
              <w:rPr>
                <w:rStyle w:val="normaltextrun"/>
                <w:rFonts w:ascii="Tahoma" w:hAnsi="Tahoma" w:cs="Tahoma"/>
                <w:b/>
                <w:bCs/>
                <w:color w:val="FFFFFF" w:themeColor="background1"/>
                <w:sz w:val="20"/>
                <w:szCs w:val="20"/>
                <w:lang w:val="fi-FI"/>
              </w:rPr>
              <w:t>Tutkinto-</w:t>
            </w:r>
            <w:r w:rsidR="004B33D7" w:rsidRPr="005C390C">
              <w:rPr>
                <w:rStyle w:val="normaltextrun"/>
                <w:rFonts w:ascii="Tahoma" w:hAnsi="Tahoma" w:cs="Tahoma"/>
                <w:b/>
                <w:bCs/>
                <w:color w:val="FFFFFF" w:themeColor="background1"/>
                <w:sz w:val="20"/>
                <w:szCs w:val="20"/>
                <w:lang w:val="fi-FI"/>
              </w:rPr>
              <w:t xml:space="preserve">ohjelmakohtaiset kompetenssit / </w:t>
            </w:r>
            <w:r w:rsidR="00A2281F" w:rsidRPr="005C390C">
              <w:rPr>
                <w:rStyle w:val="normaltextrun"/>
                <w:rFonts w:ascii="Tahoma" w:hAnsi="Tahoma" w:cs="Tahoma"/>
                <w:b/>
                <w:bCs/>
                <w:color w:val="FFFFFF" w:themeColor="background1"/>
                <w:sz w:val="20"/>
                <w:szCs w:val="20"/>
                <w:lang w:val="fi-FI"/>
              </w:rPr>
              <w:t>Tietojenkäsittelyn tradenomi</w:t>
            </w:r>
          </w:p>
          <w:p w14:paraId="6FFFFE51" w14:textId="77777777" w:rsidR="00156C86" w:rsidRPr="005C390C" w:rsidRDefault="00156C86" w:rsidP="00956707">
            <w:pPr>
              <w:pStyle w:val="paragraph"/>
              <w:spacing w:before="0" w:beforeAutospacing="0" w:after="0" w:afterAutospacing="0"/>
              <w:textAlignment w:val="baseline"/>
              <w:rPr>
                <w:rStyle w:val="eop"/>
                <w:rFonts w:ascii="Tahoma" w:eastAsiaTheme="majorEastAsia" w:hAnsi="Tahoma" w:cs="Tahoma"/>
                <w:color w:val="FFFFFF" w:themeColor="background1"/>
                <w:sz w:val="20"/>
                <w:szCs w:val="20"/>
                <w:lang w:val="fi-FI"/>
              </w:rPr>
            </w:pPr>
          </w:p>
          <w:p w14:paraId="7743BC64" w14:textId="07AE32B1" w:rsidR="00956707" w:rsidRPr="005C390C" w:rsidRDefault="00956707" w:rsidP="00956707">
            <w:pPr>
              <w:pStyle w:val="paragraph"/>
              <w:spacing w:before="0" w:beforeAutospacing="0" w:after="0" w:afterAutospacing="0"/>
              <w:textAlignment w:val="baseline"/>
              <w:rPr>
                <w:rFonts w:ascii="Tahoma" w:hAnsi="Tahoma" w:cs="Tahoma"/>
                <w:color w:val="FFFFFF" w:themeColor="background1"/>
                <w:sz w:val="20"/>
                <w:szCs w:val="20"/>
                <w:lang w:val="fi-FI"/>
              </w:rPr>
            </w:pPr>
          </w:p>
        </w:tc>
        <w:tc>
          <w:tcPr>
            <w:tcW w:w="6434" w:type="dxa"/>
            <w:tcBorders>
              <w:top w:val="single" w:sz="6" w:space="0" w:color="auto"/>
              <w:left w:val="single" w:sz="6" w:space="0" w:color="auto"/>
              <w:bottom w:val="single" w:sz="6" w:space="0" w:color="auto"/>
              <w:right w:val="single" w:sz="6" w:space="0" w:color="auto"/>
            </w:tcBorders>
            <w:shd w:val="clear" w:color="auto" w:fill="31A3B5"/>
            <w:hideMark/>
          </w:tcPr>
          <w:p w14:paraId="77FB8870" w14:textId="77777777" w:rsidR="00956707" w:rsidRPr="005C390C" w:rsidRDefault="00956707" w:rsidP="00956707">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p>
          <w:p w14:paraId="7C9F2D7A" w14:textId="180EBC51" w:rsidR="00956707" w:rsidRPr="005C390C" w:rsidRDefault="004B33D7" w:rsidP="00956707">
            <w:pPr>
              <w:pStyle w:val="paragraph"/>
              <w:spacing w:before="0" w:beforeAutospacing="0" w:after="0" w:afterAutospacing="0"/>
              <w:textAlignment w:val="baseline"/>
              <w:rPr>
                <w:rFonts w:ascii="Tahoma" w:hAnsi="Tahoma" w:cs="Tahoma"/>
                <w:color w:val="FFFFFF" w:themeColor="background1"/>
                <w:sz w:val="20"/>
                <w:szCs w:val="20"/>
              </w:rPr>
            </w:pPr>
            <w:r w:rsidRPr="005C390C">
              <w:rPr>
                <w:rStyle w:val="normaltextrun"/>
                <w:rFonts w:ascii="Tahoma" w:hAnsi="Tahoma" w:cs="Tahoma"/>
                <w:b/>
                <w:bCs/>
                <w:color w:val="FFFFFF" w:themeColor="background1"/>
                <w:sz w:val="20"/>
                <w:szCs w:val="20"/>
                <w:lang w:val="fi-FI"/>
              </w:rPr>
              <w:t>Osaamisalueen kuvaus</w:t>
            </w:r>
            <w:r w:rsidR="00956707" w:rsidRPr="005C390C">
              <w:rPr>
                <w:rStyle w:val="eop"/>
                <w:rFonts w:ascii="Tahoma" w:eastAsiaTheme="majorEastAsia" w:hAnsi="Tahoma" w:cs="Tahoma"/>
                <w:color w:val="FFFFFF" w:themeColor="background1"/>
                <w:sz w:val="20"/>
                <w:szCs w:val="20"/>
              </w:rPr>
              <w:t> </w:t>
            </w:r>
          </w:p>
        </w:tc>
      </w:tr>
      <w:tr w:rsidR="00703A9A" w:rsidRPr="00956707" w14:paraId="08E5B52E" w14:textId="77777777" w:rsidTr="5B110CFA">
        <w:tc>
          <w:tcPr>
            <w:tcW w:w="2805" w:type="dxa"/>
            <w:tcBorders>
              <w:top w:val="single" w:sz="6" w:space="0" w:color="auto"/>
              <w:left w:val="single" w:sz="6" w:space="0" w:color="auto"/>
              <w:bottom w:val="single" w:sz="6" w:space="0" w:color="auto"/>
              <w:right w:val="single" w:sz="6" w:space="0" w:color="auto"/>
            </w:tcBorders>
            <w:shd w:val="clear" w:color="auto" w:fill="auto"/>
          </w:tcPr>
          <w:p w14:paraId="0ADF95EE" w14:textId="4125C0DF" w:rsidR="00703A9A" w:rsidRPr="005C390C" w:rsidRDefault="00622C5D" w:rsidP="5B5DD252">
            <w:pPr>
              <w:rPr>
                <w:rFonts w:ascii="Tahoma" w:eastAsia="Tahoma" w:hAnsi="Tahoma" w:cs="Tahoma"/>
                <w:b/>
                <w:bCs/>
                <w:sz w:val="20"/>
                <w:szCs w:val="20"/>
                <w:lang w:val="fi"/>
              </w:rPr>
            </w:pPr>
            <w:r w:rsidRPr="005C390C">
              <w:rPr>
                <w:rFonts w:ascii="Tahoma" w:eastAsia="Tahoma" w:hAnsi="Tahoma" w:cs="Tahoma"/>
                <w:b/>
                <w:bCs/>
                <w:sz w:val="20"/>
                <w:szCs w:val="20"/>
                <w:lang w:val="fi"/>
              </w:rPr>
              <w:t xml:space="preserve">Tietojenkäsittelyn tradenomin </w:t>
            </w:r>
            <w:r w:rsidR="00703A9A" w:rsidRPr="005C390C">
              <w:rPr>
                <w:rFonts w:ascii="Tahoma" w:eastAsia="Tahoma" w:hAnsi="Tahoma" w:cs="Tahoma"/>
                <w:b/>
                <w:bCs/>
                <w:sz w:val="20"/>
                <w:szCs w:val="20"/>
                <w:lang w:val="fi"/>
              </w:rPr>
              <w:t>perus</w:t>
            </w:r>
            <w:r w:rsidR="640E50EB" w:rsidRPr="005C390C">
              <w:rPr>
                <w:rFonts w:ascii="Tahoma" w:eastAsia="Tahoma" w:hAnsi="Tahoma" w:cs="Tahoma"/>
                <w:b/>
                <w:bCs/>
                <w:sz w:val="20"/>
                <w:szCs w:val="20"/>
                <w:lang w:val="fi"/>
              </w:rPr>
              <w:t>osaaminen</w:t>
            </w:r>
          </w:p>
          <w:p w14:paraId="3F88A716" w14:textId="3E8779EB" w:rsidR="00703A9A" w:rsidRPr="005C390C" w:rsidRDefault="00703A9A" w:rsidP="00703A9A">
            <w:pPr>
              <w:pStyle w:val="paragraph"/>
              <w:spacing w:before="0" w:beforeAutospacing="0" w:after="0" w:afterAutospacing="0"/>
              <w:textAlignment w:val="baseline"/>
              <w:rPr>
                <w:rFonts w:ascii="Tahoma" w:hAnsi="Tahoma" w:cs="Tahoma"/>
                <w:sz w:val="20"/>
                <w:szCs w:val="20"/>
              </w:rPr>
            </w:pPr>
            <w:r w:rsidRPr="005C390C">
              <w:rPr>
                <w:rFonts w:ascii="Tahoma" w:eastAsia="Tahoma" w:hAnsi="Tahoma" w:cs="Tahoma"/>
                <w:b/>
                <w:bCs/>
                <w:sz w:val="20"/>
                <w:szCs w:val="20"/>
                <w:lang w:val="fi"/>
              </w:rPr>
              <w:t xml:space="preserve">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44B81020" w14:textId="03F4986D" w:rsidR="297AE420" w:rsidRPr="005C390C" w:rsidRDefault="297AE420" w:rsidP="5B5DD252">
            <w:pPr>
              <w:rPr>
                <w:rFonts w:ascii="Tahoma" w:eastAsia="Tahoma" w:hAnsi="Tahoma" w:cs="Tahoma"/>
                <w:sz w:val="20"/>
                <w:szCs w:val="20"/>
                <w:lang w:val="fi"/>
              </w:rPr>
            </w:pPr>
            <w:r w:rsidRPr="005C390C">
              <w:rPr>
                <w:rFonts w:ascii="Tahoma" w:eastAsia="Tahoma" w:hAnsi="Tahoma" w:cs="Tahoma"/>
                <w:sz w:val="20"/>
                <w:szCs w:val="20"/>
                <w:lang w:val="fi"/>
              </w:rPr>
              <w:t>Tietojenkäsittelyn tradenomi</w:t>
            </w:r>
          </w:p>
          <w:p w14:paraId="6E5CF786" w14:textId="77777777" w:rsidR="00703A9A" w:rsidRPr="005C390C" w:rsidRDefault="00703A9A" w:rsidP="00703A9A">
            <w:pPr>
              <w:pStyle w:val="Luettelokappale"/>
              <w:numPr>
                <w:ilvl w:val="0"/>
                <w:numId w:val="7"/>
              </w:numPr>
              <w:rPr>
                <w:rFonts w:ascii="Tahoma" w:eastAsia="Tahoma" w:hAnsi="Tahoma" w:cs="Tahoma"/>
                <w:sz w:val="20"/>
                <w:szCs w:val="20"/>
                <w:lang w:val="fi"/>
              </w:rPr>
            </w:pPr>
            <w:r w:rsidRPr="005C390C">
              <w:rPr>
                <w:rFonts w:ascii="Tahoma" w:eastAsia="Tahoma" w:hAnsi="Tahoma" w:cs="Tahoma"/>
                <w:sz w:val="20"/>
                <w:szCs w:val="20"/>
                <w:lang w:val="fi"/>
              </w:rPr>
              <w:t>osaa oman sovellusalansa teoreettiseen perustan</w:t>
            </w:r>
          </w:p>
          <w:p w14:paraId="552DD47D" w14:textId="6AE3560C" w:rsidR="00703A9A" w:rsidRPr="005C390C" w:rsidRDefault="00703A9A" w:rsidP="00703A9A">
            <w:pPr>
              <w:pStyle w:val="Luettelokappale"/>
              <w:numPr>
                <w:ilvl w:val="0"/>
                <w:numId w:val="7"/>
              </w:numPr>
              <w:rPr>
                <w:rFonts w:ascii="Tahoma" w:eastAsia="Tahoma" w:hAnsi="Tahoma" w:cs="Tahoma"/>
                <w:sz w:val="20"/>
                <w:szCs w:val="20"/>
                <w:lang w:val="fi"/>
              </w:rPr>
            </w:pPr>
            <w:r w:rsidRPr="005C390C">
              <w:rPr>
                <w:rFonts w:ascii="Tahoma" w:eastAsia="Tahoma" w:hAnsi="Tahoma" w:cs="Tahoma"/>
                <w:sz w:val="20"/>
                <w:szCs w:val="20"/>
                <w:lang w:val="fi"/>
              </w:rPr>
              <w:t xml:space="preserve">osaa käyttää sovellusalansa </w:t>
            </w:r>
            <w:r w:rsidR="4F863AF5" w:rsidRPr="005C390C">
              <w:rPr>
                <w:rFonts w:ascii="Tahoma" w:eastAsia="Tahoma" w:hAnsi="Tahoma" w:cs="Tahoma"/>
                <w:sz w:val="20"/>
                <w:szCs w:val="20"/>
                <w:lang w:val="fi"/>
              </w:rPr>
              <w:t xml:space="preserve">yleisimpiä </w:t>
            </w:r>
            <w:r w:rsidRPr="005C390C">
              <w:rPr>
                <w:rFonts w:ascii="Tahoma" w:eastAsia="Tahoma" w:hAnsi="Tahoma" w:cs="Tahoma"/>
                <w:sz w:val="20"/>
                <w:szCs w:val="20"/>
                <w:lang w:val="fi"/>
              </w:rPr>
              <w:t>menetelmiä</w:t>
            </w:r>
          </w:p>
          <w:p w14:paraId="7F90B0A2" w14:textId="39D088D9" w:rsidR="00703A9A" w:rsidRPr="005C390C" w:rsidRDefault="00703A9A" w:rsidP="00703A9A">
            <w:pPr>
              <w:pStyle w:val="Luettelokappale"/>
              <w:numPr>
                <w:ilvl w:val="0"/>
                <w:numId w:val="7"/>
              </w:numPr>
              <w:rPr>
                <w:rFonts w:ascii="Tahoma" w:eastAsia="Tahoma" w:hAnsi="Tahoma" w:cs="Tahoma"/>
                <w:sz w:val="20"/>
                <w:szCs w:val="20"/>
                <w:lang w:val="fi"/>
              </w:rPr>
            </w:pPr>
            <w:r w:rsidRPr="005C390C">
              <w:rPr>
                <w:rFonts w:ascii="Tahoma" w:eastAsia="Tahoma" w:hAnsi="Tahoma" w:cs="Tahoma"/>
                <w:sz w:val="20"/>
                <w:szCs w:val="20"/>
                <w:lang w:val="fi"/>
              </w:rPr>
              <w:t xml:space="preserve">osaa dokumentoida työnsä tulokset </w:t>
            </w:r>
          </w:p>
          <w:p w14:paraId="4212734F" w14:textId="7381C7A8" w:rsidR="56716C2D" w:rsidRPr="005C390C" w:rsidRDefault="56716C2D" w:rsidP="5B5DD252">
            <w:pPr>
              <w:pStyle w:val="Luettelokappale"/>
              <w:numPr>
                <w:ilvl w:val="0"/>
                <w:numId w:val="7"/>
              </w:numPr>
              <w:rPr>
                <w:rFonts w:ascii="Tahoma" w:eastAsia="Tahoma" w:hAnsi="Tahoma" w:cs="Tahoma"/>
                <w:sz w:val="20"/>
                <w:szCs w:val="20"/>
                <w:lang w:val="fi"/>
              </w:rPr>
            </w:pPr>
            <w:r w:rsidRPr="005C390C">
              <w:rPr>
                <w:rFonts w:ascii="Tahoma" w:eastAsia="Tahoma" w:hAnsi="Tahoma" w:cs="Tahoma"/>
                <w:sz w:val="20"/>
                <w:szCs w:val="20"/>
                <w:lang w:val="fi"/>
              </w:rPr>
              <w:t>osaa viestiä erilaisissa toimintaympäristöissä</w:t>
            </w:r>
          </w:p>
          <w:p w14:paraId="5F317F18" w14:textId="10DDFA62" w:rsidR="00703A9A" w:rsidRPr="005C390C" w:rsidRDefault="00703A9A" w:rsidP="231A2F40">
            <w:pPr>
              <w:pStyle w:val="Luettelokappale"/>
              <w:numPr>
                <w:ilvl w:val="0"/>
                <w:numId w:val="7"/>
              </w:numPr>
              <w:rPr>
                <w:rFonts w:ascii="Tahoma" w:eastAsia="Tahoma" w:hAnsi="Tahoma" w:cs="Tahoma"/>
                <w:sz w:val="20"/>
                <w:szCs w:val="20"/>
                <w:lang w:val="fi"/>
              </w:rPr>
            </w:pPr>
            <w:r w:rsidRPr="005C390C">
              <w:rPr>
                <w:rFonts w:ascii="Tahoma" w:eastAsia="Tahoma" w:hAnsi="Tahoma" w:cs="Tahoma"/>
                <w:sz w:val="20"/>
                <w:szCs w:val="20"/>
                <w:lang w:val="fi"/>
              </w:rPr>
              <w:t>osaa kommunikoida asiakkaiden kanssa ja ymmärtää heidän tarpeitaan</w:t>
            </w:r>
          </w:p>
        </w:tc>
      </w:tr>
      <w:tr w:rsidR="5B5DD252" w14:paraId="75FC4244" w14:textId="77777777" w:rsidTr="5B110CFA">
        <w:tc>
          <w:tcPr>
            <w:tcW w:w="2805" w:type="dxa"/>
            <w:tcBorders>
              <w:top w:val="single" w:sz="6" w:space="0" w:color="auto"/>
              <w:left w:val="single" w:sz="6" w:space="0" w:color="auto"/>
              <w:bottom w:val="single" w:sz="6" w:space="0" w:color="auto"/>
              <w:right w:val="single" w:sz="6" w:space="0" w:color="auto"/>
            </w:tcBorders>
            <w:shd w:val="clear" w:color="auto" w:fill="auto"/>
          </w:tcPr>
          <w:p w14:paraId="78D4F5C7" w14:textId="2B5D86E5" w:rsidR="116F0A88" w:rsidRPr="005C390C" w:rsidRDefault="116F0A88" w:rsidP="5B5DD252">
            <w:pPr>
              <w:rPr>
                <w:rFonts w:ascii="Tahoma" w:eastAsia="Tahoma" w:hAnsi="Tahoma" w:cs="Tahoma"/>
                <w:b/>
                <w:bCs/>
                <w:sz w:val="20"/>
                <w:szCs w:val="20"/>
                <w:lang w:val="fi"/>
              </w:rPr>
            </w:pPr>
            <w:r w:rsidRPr="005C390C">
              <w:rPr>
                <w:rFonts w:ascii="Tahoma" w:eastAsia="Tahoma" w:hAnsi="Tahoma" w:cs="Tahoma"/>
                <w:b/>
                <w:bCs/>
                <w:sz w:val="20"/>
                <w:szCs w:val="20"/>
                <w:lang w:val="fi"/>
              </w:rPr>
              <w:t>Data</w:t>
            </w:r>
            <w:r w:rsidR="3AD078AB" w:rsidRPr="005C390C">
              <w:rPr>
                <w:rFonts w:ascii="Tahoma" w:eastAsia="Tahoma" w:hAnsi="Tahoma" w:cs="Tahoma"/>
                <w:b/>
                <w:bCs/>
                <w:sz w:val="20"/>
                <w:szCs w:val="20"/>
                <w:lang w:val="fi"/>
              </w:rPr>
              <w:t>-analytiik</w:t>
            </w:r>
            <w:r w:rsidR="6DDCF35B" w:rsidRPr="005C390C">
              <w:rPr>
                <w:rFonts w:ascii="Tahoma" w:eastAsia="Tahoma" w:hAnsi="Tahoma" w:cs="Tahoma"/>
                <w:b/>
                <w:bCs/>
                <w:sz w:val="20"/>
                <w:szCs w:val="20"/>
                <w:lang w:val="fi"/>
              </w:rPr>
              <w:t>ka-</w:t>
            </w:r>
            <w:r w:rsidR="3AD078AB" w:rsidRPr="005C390C">
              <w:rPr>
                <w:rFonts w:ascii="Tahoma" w:eastAsia="Tahoma" w:hAnsi="Tahoma" w:cs="Tahoma"/>
                <w:b/>
                <w:bCs/>
                <w:sz w:val="20"/>
                <w:szCs w:val="20"/>
                <w:lang w:val="fi"/>
              </w:rPr>
              <w:t xml:space="preserve"> 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6A530D92" w14:textId="78AB44A7" w:rsidR="24356B0C" w:rsidRPr="005C390C" w:rsidRDefault="24356B0C" w:rsidP="5DCF1547">
            <w:pPr>
              <w:pStyle w:val="Luettelokappale"/>
              <w:numPr>
                <w:ilvl w:val="0"/>
                <w:numId w:val="9"/>
              </w:numPr>
              <w:rPr>
                <w:rFonts w:ascii="Tahoma" w:eastAsia="Tahoma" w:hAnsi="Tahoma" w:cs="Tahoma"/>
                <w:sz w:val="20"/>
                <w:szCs w:val="20"/>
                <w:lang w:val="fi"/>
              </w:rPr>
            </w:pPr>
            <w:r w:rsidRPr="005C390C">
              <w:rPr>
                <w:rFonts w:ascii="Tahoma" w:eastAsia="Tahoma" w:hAnsi="Tahoma" w:cs="Tahoma"/>
                <w:sz w:val="20"/>
                <w:szCs w:val="20"/>
                <w:lang w:val="fi"/>
              </w:rPr>
              <w:t xml:space="preserve">osaa </w:t>
            </w:r>
            <w:r w:rsidR="063A7D91" w:rsidRPr="005C390C">
              <w:rPr>
                <w:rFonts w:ascii="Tahoma" w:eastAsia="Tahoma" w:hAnsi="Tahoma" w:cs="Tahoma"/>
                <w:sz w:val="20"/>
                <w:szCs w:val="20"/>
                <w:lang w:val="fi"/>
              </w:rPr>
              <w:t>analysoida yhdestä tai useammasta lähteestä peräisin olevaa dataa</w:t>
            </w:r>
          </w:p>
          <w:p w14:paraId="5C3BCAF5" w14:textId="11CC09A6" w:rsidR="1AA2A603" w:rsidRPr="005C390C" w:rsidRDefault="063A7D91" w:rsidP="5B5DD252">
            <w:pPr>
              <w:pStyle w:val="Luettelokappale"/>
              <w:numPr>
                <w:ilvl w:val="0"/>
                <w:numId w:val="9"/>
              </w:numPr>
              <w:rPr>
                <w:rFonts w:ascii="Tahoma" w:eastAsia="Tahoma" w:hAnsi="Tahoma" w:cs="Tahoma"/>
                <w:sz w:val="20"/>
                <w:szCs w:val="20"/>
                <w:lang w:val="fi"/>
              </w:rPr>
            </w:pPr>
            <w:r w:rsidRPr="005C390C">
              <w:rPr>
                <w:rFonts w:ascii="Tahoma" w:eastAsia="Tahoma" w:hAnsi="Tahoma" w:cs="Tahoma"/>
                <w:sz w:val="20"/>
                <w:szCs w:val="20"/>
                <w:lang w:val="fi"/>
              </w:rPr>
              <w:t>osaa tunnistaa datamassasta</w:t>
            </w:r>
            <w:r w:rsidR="0063438D" w:rsidRPr="005C390C">
              <w:rPr>
                <w:rFonts w:ascii="Tahoma" w:eastAsia="Tahoma" w:hAnsi="Tahoma" w:cs="Tahoma"/>
                <w:sz w:val="20"/>
                <w:szCs w:val="20"/>
                <w:lang w:val="fi"/>
              </w:rPr>
              <w:t xml:space="preserve"> </w:t>
            </w:r>
            <w:r w:rsidR="0036378B" w:rsidRPr="005C390C">
              <w:rPr>
                <w:rFonts w:ascii="Tahoma" w:eastAsia="Tahoma" w:hAnsi="Tahoma" w:cs="Tahoma"/>
                <w:sz w:val="20"/>
                <w:szCs w:val="20"/>
                <w:lang w:val="fi"/>
              </w:rPr>
              <w:t>käyttökohteen kannalta</w:t>
            </w:r>
            <w:r w:rsidRPr="005C390C">
              <w:rPr>
                <w:rFonts w:ascii="Tahoma" w:eastAsia="Tahoma" w:hAnsi="Tahoma" w:cs="Tahoma"/>
                <w:sz w:val="20"/>
                <w:szCs w:val="20"/>
                <w:lang w:val="fi"/>
              </w:rPr>
              <w:t xml:space="preserve"> oleellisen datan</w:t>
            </w:r>
          </w:p>
          <w:p w14:paraId="210FDC94" w14:textId="7063A982" w:rsidR="24356B0C" w:rsidRPr="005C390C" w:rsidRDefault="4F8DA97E" w:rsidP="0036378B">
            <w:pPr>
              <w:pStyle w:val="Luettelokappale"/>
              <w:numPr>
                <w:ilvl w:val="0"/>
                <w:numId w:val="9"/>
              </w:numPr>
              <w:rPr>
                <w:rFonts w:ascii="Tahoma" w:eastAsia="Tahoma" w:hAnsi="Tahoma" w:cs="Tahoma"/>
                <w:sz w:val="20"/>
                <w:szCs w:val="20"/>
                <w:lang w:val="fi"/>
              </w:rPr>
            </w:pPr>
            <w:r w:rsidRPr="005C390C">
              <w:rPr>
                <w:rFonts w:ascii="Tahoma" w:eastAsia="Tahoma" w:hAnsi="Tahoma" w:cs="Tahoma"/>
                <w:sz w:val="20"/>
                <w:szCs w:val="20"/>
                <w:lang w:val="fi"/>
              </w:rPr>
              <w:t>o</w:t>
            </w:r>
            <w:r w:rsidR="24356B0C" w:rsidRPr="005C390C">
              <w:rPr>
                <w:rFonts w:ascii="Tahoma" w:eastAsia="Tahoma" w:hAnsi="Tahoma" w:cs="Tahoma"/>
                <w:sz w:val="20"/>
                <w:szCs w:val="20"/>
                <w:lang w:val="fi"/>
              </w:rPr>
              <w:t>saa visualisoi</w:t>
            </w:r>
            <w:r w:rsidR="00BE5427" w:rsidRPr="005C390C">
              <w:rPr>
                <w:rFonts w:ascii="Tahoma" w:eastAsia="Tahoma" w:hAnsi="Tahoma" w:cs="Tahoma"/>
                <w:sz w:val="20"/>
                <w:szCs w:val="20"/>
                <w:lang w:val="fi"/>
              </w:rPr>
              <w:t>malla dataa tehdä sen sisältämän tiedon näkyväksi</w:t>
            </w:r>
          </w:p>
          <w:p w14:paraId="467780DF" w14:textId="47B991E5" w:rsidR="5B5DD252" w:rsidRPr="005C390C" w:rsidRDefault="5B5DD252" w:rsidP="5B5DD252">
            <w:pPr>
              <w:pStyle w:val="Luettelokappale"/>
              <w:numPr>
                <w:ilvl w:val="0"/>
                <w:numId w:val="0"/>
              </w:numPr>
              <w:rPr>
                <w:rFonts w:ascii="Tahoma" w:eastAsia="Tahoma" w:hAnsi="Tahoma" w:cs="Tahoma"/>
                <w:sz w:val="20"/>
                <w:szCs w:val="20"/>
                <w:lang w:val="fi"/>
              </w:rPr>
            </w:pPr>
          </w:p>
        </w:tc>
      </w:tr>
      <w:tr w:rsidR="5B5DD252" w14:paraId="3C7081EC" w14:textId="77777777" w:rsidTr="5B110CFA">
        <w:tc>
          <w:tcPr>
            <w:tcW w:w="2805" w:type="dxa"/>
            <w:tcBorders>
              <w:top w:val="single" w:sz="6" w:space="0" w:color="auto"/>
              <w:left w:val="single" w:sz="6" w:space="0" w:color="auto"/>
              <w:bottom w:val="single" w:sz="6" w:space="0" w:color="auto"/>
              <w:right w:val="single" w:sz="6" w:space="0" w:color="auto"/>
            </w:tcBorders>
            <w:shd w:val="clear" w:color="auto" w:fill="auto"/>
          </w:tcPr>
          <w:p w14:paraId="2484BBD0" w14:textId="7001F1AA" w:rsidR="5B5DD252" w:rsidRPr="005C390C" w:rsidRDefault="5B5DD252" w:rsidP="5B110CFA">
            <w:pPr>
              <w:pStyle w:val="paragraph"/>
              <w:spacing w:before="0" w:beforeAutospacing="0" w:after="0" w:afterAutospacing="0"/>
              <w:rPr>
                <w:rFonts w:ascii="Tahoma" w:eastAsia="Tahoma" w:hAnsi="Tahoma" w:cs="Tahoma"/>
                <w:b/>
                <w:bCs/>
                <w:sz w:val="20"/>
                <w:szCs w:val="20"/>
                <w:lang w:val="fi"/>
              </w:rPr>
            </w:pPr>
            <w:r w:rsidRPr="005C390C">
              <w:rPr>
                <w:rFonts w:ascii="Tahoma" w:eastAsia="Tahoma" w:hAnsi="Tahoma" w:cs="Tahoma"/>
                <w:b/>
                <w:bCs/>
                <w:sz w:val="20"/>
                <w:szCs w:val="20"/>
                <w:lang w:val="fi"/>
              </w:rPr>
              <w:t>Ohjel</w:t>
            </w:r>
            <w:r w:rsidR="32643CCF" w:rsidRPr="005C390C">
              <w:rPr>
                <w:rFonts w:ascii="Tahoma" w:eastAsia="Tahoma" w:hAnsi="Tahoma" w:cs="Tahoma"/>
                <w:b/>
                <w:bCs/>
                <w:sz w:val="20"/>
                <w:szCs w:val="20"/>
                <w:lang w:val="fi"/>
              </w:rPr>
              <w:t>mointi</w:t>
            </w:r>
            <w:r w:rsidR="60126386" w:rsidRPr="005C390C">
              <w:rPr>
                <w:rFonts w:ascii="Tahoma" w:eastAsia="Tahoma" w:hAnsi="Tahoma" w:cs="Tahoma"/>
                <w:b/>
                <w:bCs/>
                <w:sz w:val="20"/>
                <w:szCs w:val="20"/>
                <w:lang w:val="fi"/>
              </w:rPr>
              <w:t>- ja tietokanta 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08D8F836" w14:textId="2B8E7179" w:rsidR="17CC86FC" w:rsidRPr="005C390C" w:rsidRDefault="17CC86FC" w:rsidP="5B5DD252">
            <w:pPr>
              <w:pStyle w:val="Luettelokappale"/>
              <w:numPr>
                <w:ilvl w:val="0"/>
                <w:numId w:val="9"/>
              </w:numPr>
              <w:rPr>
                <w:rFonts w:ascii="Tahoma" w:eastAsia="Tahoma" w:hAnsi="Tahoma" w:cs="Tahoma"/>
                <w:sz w:val="20"/>
                <w:szCs w:val="20"/>
                <w:lang w:val="fi"/>
              </w:rPr>
            </w:pPr>
            <w:r w:rsidRPr="005C390C">
              <w:rPr>
                <w:rFonts w:ascii="Tahoma" w:eastAsia="Tahoma" w:hAnsi="Tahoma" w:cs="Tahoma"/>
                <w:sz w:val="20"/>
                <w:szCs w:val="20"/>
                <w:lang w:val="fi"/>
              </w:rPr>
              <w:t xml:space="preserve">osaa ohjelmoinnin perusteet </w:t>
            </w:r>
          </w:p>
          <w:p w14:paraId="4A12E822" w14:textId="77777777" w:rsidR="5B5DD252" w:rsidRPr="005C390C" w:rsidRDefault="5B5DD252" w:rsidP="5B5DD252">
            <w:pPr>
              <w:pStyle w:val="Luettelokappale"/>
              <w:numPr>
                <w:ilvl w:val="0"/>
                <w:numId w:val="9"/>
              </w:numPr>
              <w:rPr>
                <w:rFonts w:ascii="Tahoma" w:eastAsia="Tahoma" w:hAnsi="Tahoma" w:cs="Tahoma"/>
                <w:sz w:val="20"/>
                <w:szCs w:val="20"/>
                <w:lang w:val="fi"/>
              </w:rPr>
            </w:pPr>
            <w:r w:rsidRPr="005C390C">
              <w:rPr>
                <w:rFonts w:ascii="Tahoma" w:eastAsia="Tahoma" w:hAnsi="Tahoma" w:cs="Tahoma"/>
                <w:sz w:val="20"/>
                <w:szCs w:val="20"/>
                <w:lang w:val="fi"/>
              </w:rPr>
              <w:t>osaa hyödyntää algoritmeja ja tietorakenteita</w:t>
            </w:r>
          </w:p>
          <w:p w14:paraId="5A716335" w14:textId="77777777" w:rsidR="5B5DD252" w:rsidRPr="005C390C" w:rsidRDefault="5B5DD252" w:rsidP="5B5DD252">
            <w:pPr>
              <w:pStyle w:val="Luettelokappale"/>
              <w:numPr>
                <w:ilvl w:val="0"/>
                <w:numId w:val="9"/>
              </w:numPr>
              <w:rPr>
                <w:rFonts w:ascii="Tahoma" w:eastAsia="Tahoma" w:hAnsi="Tahoma" w:cs="Tahoma"/>
                <w:sz w:val="20"/>
                <w:szCs w:val="20"/>
                <w:lang w:val="fi"/>
              </w:rPr>
            </w:pPr>
            <w:r w:rsidRPr="005C390C">
              <w:rPr>
                <w:rFonts w:ascii="Tahoma" w:eastAsia="Tahoma" w:hAnsi="Tahoma" w:cs="Tahoma"/>
                <w:sz w:val="20"/>
                <w:szCs w:val="20"/>
                <w:lang w:val="fi"/>
              </w:rPr>
              <w:t>osaa tulkita ohjelmakoodia ja hyödyntää ohjelmointia ongelmanratkaisussa</w:t>
            </w:r>
          </w:p>
          <w:p w14:paraId="77A3218E" w14:textId="7E6E14A4" w:rsidR="5B5DD252" w:rsidRPr="005C390C" w:rsidRDefault="5B5DD252" w:rsidP="5B5DD252">
            <w:pPr>
              <w:pStyle w:val="Luettelokappale"/>
              <w:numPr>
                <w:ilvl w:val="0"/>
                <w:numId w:val="9"/>
              </w:numPr>
              <w:rPr>
                <w:rStyle w:val="normaltextrun"/>
                <w:rFonts w:ascii="Tahoma" w:hAnsi="Tahoma" w:cs="Tahoma"/>
                <w:sz w:val="20"/>
                <w:szCs w:val="20"/>
              </w:rPr>
            </w:pPr>
            <w:r w:rsidRPr="005C390C">
              <w:rPr>
                <w:rFonts w:ascii="Tahoma" w:eastAsia="Tahoma" w:hAnsi="Tahoma" w:cs="Tahoma"/>
                <w:sz w:val="20"/>
                <w:szCs w:val="20"/>
                <w:lang w:val="fi"/>
              </w:rPr>
              <w:t xml:space="preserve">osaa tietokantojen suunnittelun ja toteutuksen perusteet </w:t>
            </w:r>
          </w:p>
        </w:tc>
      </w:tr>
      <w:tr w:rsidR="5B5DD252" w14:paraId="46335756" w14:textId="77777777" w:rsidTr="5B110CFA">
        <w:tc>
          <w:tcPr>
            <w:tcW w:w="2805" w:type="dxa"/>
            <w:tcBorders>
              <w:top w:val="single" w:sz="6" w:space="0" w:color="auto"/>
              <w:left w:val="single" w:sz="6" w:space="0" w:color="auto"/>
              <w:bottom w:val="single" w:sz="6" w:space="0" w:color="auto"/>
              <w:right w:val="single" w:sz="6" w:space="0" w:color="auto"/>
            </w:tcBorders>
            <w:shd w:val="clear" w:color="auto" w:fill="auto"/>
          </w:tcPr>
          <w:p w14:paraId="72AE4F20" w14:textId="42B9FCFC" w:rsidR="5B5DD252" w:rsidRPr="005C390C" w:rsidRDefault="5B5DD252" w:rsidP="5B5DD252">
            <w:pPr>
              <w:pStyle w:val="paragraph"/>
              <w:spacing w:before="0" w:beforeAutospacing="0" w:after="0" w:afterAutospacing="0"/>
              <w:rPr>
                <w:rFonts w:ascii="Tahoma" w:hAnsi="Tahoma" w:cs="Tahoma"/>
                <w:sz w:val="20"/>
                <w:szCs w:val="20"/>
              </w:rPr>
            </w:pPr>
            <w:r w:rsidRPr="005C390C">
              <w:rPr>
                <w:rFonts w:ascii="Tahoma" w:eastAsia="Tahoma" w:hAnsi="Tahoma" w:cs="Tahoma"/>
                <w:b/>
                <w:bCs/>
                <w:sz w:val="20"/>
                <w:szCs w:val="20"/>
                <w:lang w:val="fi"/>
              </w:rPr>
              <w:t>Liiketoimintaosaaminen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73F09AD0" w14:textId="77777777" w:rsidR="5B5DD252" w:rsidRPr="005C390C" w:rsidRDefault="5B5DD252" w:rsidP="5B5DD252">
            <w:pPr>
              <w:pStyle w:val="Luettelokappale"/>
              <w:numPr>
                <w:ilvl w:val="0"/>
                <w:numId w:val="8"/>
              </w:numPr>
              <w:rPr>
                <w:rFonts w:ascii="Tahoma" w:eastAsia="Tahoma" w:hAnsi="Tahoma" w:cs="Tahoma"/>
                <w:sz w:val="20"/>
                <w:szCs w:val="20"/>
                <w:lang w:val="fi"/>
              </w:rPr>
            </w:pPr>
            <w:r w:rsidRPr="005C390C">
              <w:rPr>
                <w:rFonts w:ascii="Tahoma" w:eastAsia="Tahoma" w:hAnsi="Tahoma" w:cs="Tahoma"/>
                <w:sz w:val="20"/>
                <w:szCs w:val="20"/>
                <w:lang w:val="fi"/>
              </w:rPr>
              <w:t>osaa huomioida kannattavan liiketoiminnan edellytykset</w:t>
            </w:r>
          </w:p>
          <w:p w14:paraId="4BF9612E" w14:textId="1C74B5F0" w:rsidR="5B5DD252" w:rsidRPr="005C390C" w:rsidRDefault="5B5DD252" w:rsidP="5B110CFA">
            <w:pPr>
              <w:pStyle w:val="Luettelokappale"/>
              <w:numPr>
                <w:ilvl w:val="0"/>
                <w:numId w:val="8"/>
              </w:numPr>
              <w:rPr>
                <w:rFonts w:ascii="Tahoma" w:eastAsia="Tahoma" w:hAnsi="Tahoma" w:cs="Tahoma"/>
                <w:sz w:val="20"/>
                <w:szCs w:val="20"/>
                <w:lang w:val="fi"/>
              </w:rPr>
            </w:pPr>
            <w:r w:rsidRPr="005C390C">
              <w:rPr>
                <w:rFonts w:ascii="Tahoma" w:eastAsia="Tahoma" w:hAnsi="Tahoma" w:cs="Tahoma"/>
                <w:sz w:val="20"/>
                <w:szCs w:val="20"/>
                <w:lang w:val="fi"/>
              </w:rPr>
              <w:t xml:space="preserve">osaa </w:t>
            </w:r>
            <w:r w:rsidR="3358865B" w:rsidRPr="005C390C">
              <w:rPr>
                <w:rFonts w:ascii="Tahoma" w:eastAsia="Tahoma" w:hAnsi="Tahoma" w:cs="Tahoma"/>
                <w:sz w:val="20"/>
                <w:szCs w:val="20"/>
                <w:lang w:val="fi"/>
              </w:rPr>
              <w:t>toimia yrityksessä kannattavu</w:t>
            </w:r>
            <w:r w:rsidR="00DFABE3" w:rsidRPr="005C390C">
              <w:rPr>
                <w:rFonts w:ascii="Tahoma" w:eastAsia="Tahoma" w:hAnsi="Tahoma" w:cs="Tahoma"/>
                <w:sz w:val="20"/>
                <w:szCs w:val="20"/>
                <w:lang w:val="fi"/>
              </w:rPr>
              <w:t>us</w:t>
            </w:r>
            <w:r w:rsidR="3358865B" w:rsidRPr="005C390C">
              <w:rPr>
                <w:rFonts w:ascii="Tahoma" w:eastAsia="Tahoma" w:hAnsi="Tahoma" w:cs="Tahoma"/>
                <w:sz w:val="20"/>
                <w:szCs w:val="20"/>
                <w:lang w:val="fi"/>
              </w:rPr>
              <w:t xml:space="preserve"> huomioiden</w:t>
            </w:r>
          </w:p>
          <w:p w14:paraId="4876DA24" w14:textId="359807AC" w:rsidR="5B5DD252" w:rsidRPr="005C390C" w:rsidRDefault="5B5DD252" w:rsidP="5B5DD252">
            <w:pPr>
              <w:pStyle w:val="Luettelokappale"/>
              <w:numPr>
                <w:ilvl w:val="0"/>
                <w:numId w:val="8"/>
              </w:numPr>
              <w:rPr>
                <w:rFonts w:ascii="Tahoma" w:eastAsia="Tahoma" w:hAnsi="Tahoma" w:cs="Tahoma"/>
                <w:sz w:val="20"/>
                <w:szCs w:val="20"/>
                <w:lang w:val="fi"/>
              </w:rPr>
            </w:pPr>
            <w:r w:rsidRPr="005C390C">
              <w:rPr>
                <w:rFonts w:ascii="Tahoma" w:eastAsia="Tahoma" w:hAnsi="Tahoma" w:cs="Tahoma"/>
                <w:sz w:val="20"/>
                <w:szCs w:val="20"/>
                <w:lang w:val="fi"/>
              </w:rPr>
              <w:t xml:space="preserve">osaa </w:t>
            </w:r>
            <w:r w:rsidR="5D2900B4" w:rsidRPr="005C390C">
              <w:rPr>
                <w:rFonts w:ascii="Tahoma" w:eastAsia="Tahoma" w:hAnsi="Tahoma" w:cs="Tahoma"/>
                <w:sz w:val="20"/>
                <w:szCs w:val="20"/>
                <w:lang w:val="fi"/>
              </w:rPr>
              <w:t xml:space="preserve">toimia asiakaslähtöisesti </w:t>
            </w:r>
          </w:p>
          <w:p w14:paraId="6BDE0E68" w14:textId="7459854E" w:rsidR="5B5DD252" w:rsidRPr="005C390C" w:rsidRDefault="5B5DD252" w:rsidP="5B5DD252">
            <w:pPr>
              <w:pStyle w:val="Luettelokappale"/>
              <w:numPr>
                <w:ilvl w:val="0"/>
                <w:numId w:val="8"/>
              </w:numPr>
              <w:rPr>
                <w:rFonts w:ascii="Tahoma" w:eastAsia="Tahoma" w:hAnsi="Tahoma" w:cs="Tahoma"/>
                <w:sz w:val="20"/>
                <w:szCs w:val="20"/>
                <w:lang w:val="fi"/>
              </w:rPr>
            </w:pPr>
            <w:r w:rsidRPr="005C390C">
              <w:rPr>
                <w:rFonts w:ascii="Tahoma" w:eastAsia="Tahoma" w:hAnsi="Tahoma" w:cs="Tahoma"/>
                <w:sz w:val="20"/>
                <w:szCs w:val="20"/>
                <w:lang w:val="fi"/>
              </w:rPr>
              <w:t>osaa toimia projekt</w:t>
            </w:r>
            <w:r w:rsidR="354DE5BE" w:rsidRPr="005C390C">
              <w:rPr>
                <w:rFonts w:ascii="Tahoma" w:eastAsia="Tahoma" w:hAnsi="Tahoma" w:cs="Tahoma"/>
                <w:sz w:val="20"/>
                <w:szCs w:val="20"/>
                <w:lang w:val="fi"/>
              </w:rPr>
              <w:t>eissa</w:t>
            </w:r>
            <w:r w:rsidRPr="005C390C">
              <w:rPr>
                <w:rFonts w:ascii="Tahoma" w:eastAsia="Tahoma" w:hAnsi="Tahoma" w:cs="Tahoma"/>
                <w:sz w:val="20"/>
                <w:szCs w:val="20"/>
                <w:lang w:val="fi"/>
              </w:rPr>
              <w:t xml:space="preserve"> eri tehtävissä</w:t>
            </w:r>
          </w:p>
          <w:p w14:paraId="76975E30" w14:textId="522871B8" w:rsidR="5B5DD252" w:rsidRPr="005C390C" w:rsidRDefault="008F4DD9" w:rsidP="5DCF1547">
            <w:pPr>
              <w:pStyle w:val="Luettelokappale"/>
              <w:numPr>
                <w:ilvl w:val="0"/>
                <w:numId w:val="8"/>
              </w:numPr>
              <w:rPr>
                <w:rFonts w:ascii="Tahoma" w:hAnsi="Tahoma" w:cs="Tahoma"/>
                <w:sz w:val="20"/>
                <w:szCs w:val="20"/>
              </w:rPr>
            </w:pPr>
            <w:r w:rsidRPr="005C390C">
              <w:rPr>
                <w:rFonts w:ascii="Tahoma" w:eastAsia="Tahoma" w:hAnsi="Tahoma" w:cs="Tahoma"/>
                <w:sz w:val="20"/>
                <w:szCs w:val="20"/>
                <w:lang w:val="fi"/>
              </w:rPr>
              <w:t xml:space="preserve">osaa </w:t>
            </w:r>
            <w:r w:rsidR="756535A6" w:rsidRPr="005C390C">
              <w:rPr>
                <w:rFonts w:ascii="Tahoma" w:eastAsia="Tahoma" w:hAnsi="Tahoma" w:cs="Tahoma"/>
                <w:sz w:val="20"/>
                <w:szCs w:val="20"/>
                <w:lang w:val="fi"/>
              </w:rPr>
              <w:t>hyödyntää</w:t>
            </w:r>
            <w:r w:rsidR="7FD3E72C" w:rsidRPr="005C390C">
              <w:rPr>
                <w:rFonts w:ascii="Tahoma" w:eastAsia="Tahoma" w:hAnsi="Tahoma" w:cs="Tahoma"/>
                <w:sz w:val="20"/>
                <w:szCs w:val="20"/>
                <w:lang w:val="fi"/>
              </w:rPr>
              <w:t xml:space="preserve"> data</w:t>
            </w:r>
            <w:r w:rsidRPr="005C390C">
              <w:rPr>
                <w:rFonts w:ascii="Tahoma" w:eastAsia="Tahoma" w:hAnsi="Tahoma" w:cs="Tahoma"/>
                <w:sz w:val="20"/>
                <w:szCs w:val="20"/>
                <w:lang w:val="fi"/>
              </w:rPr>
              <w:t>a</w:t>
            </w:r>
            <w:r w:rsidR="7FD3E72C" w:rsidRPr="005C390C">
              <w:rPr>
                <w:rFonts w:ascii="Tahoma" w:eastAsia="Tahoma" w:hAnsi="Tahoma" w:cs="Tahoma"/>
                <w:sz w:val="20"/>
                <w:szCs w:val="20"/>
                <w:lang w:val="fi"/>
              </w:rPr>
              <w:t xml:space="preserve"> liiketoiminnan kehittämisessä</w:t>
            </w:r>
          </w:p>
        </w:tc>
      </w:tr>
    </w:tbl>
    <w:p w14:paraId="52B11331" w14:textId="0070B43F" w:rsidR="231A2F40" w:rsidRDefault="231A2F40"/>
    <w:p w14:paraId="6FFB449E" w14:textId="77777777" w:rsidR="00956707" w:rsidRPr="00956707" w:rsidRDefault="00956707" w:rsidP="61205BC3">
      <w:pPr>
        <w:jc w:val="both"/>
        <w:rPr>
          <w:rFonts w:ascii="Tahoma" w:hAnsi="Tahoma" w:cs="Tahoma"/>
          <w:b/>
          <w:bCs/>
          <w:color w:val="FF0000"/>
          <w:sz w:val="24"/>
          <w:szCs w:val="24"/>
          <w:lang w:val="fi"/>
        </w:rPr>
      </w:pPr>
    </w:p>
    <w:p w14:paraId="59C93F15" w14:textId="20C5B728" w:rsidR="005B457C" w:rsidRPr="00956707" w:rsidRDefault="61205BC3" w:rsidP="61205BC3">
      <w:pPr>
        <w:spacing w:line="360" w:lineRule="auto"/>
        <w:rPr>
          <w:rFonts w:ascii="Tahoma" w:hAnsi="Tahoma" w:cs="Tahoma"/>
        </w:rPr>
      </w:pPr>
      <w:r w:rsidRPr="00956707">
        <w:rPr>
          <w:rFonts w:ascii="Tahoma" w:hAnsi="Tahoma" w:cs="Tahoma"/>
          <w:b/>
          <w:bCs/>
          <w:color w:val="FF0000"/>
          <w:sz w:val="24"/>
          <w:szCs w:val="24"/>
          <w:lang w:val="fi"/>
        </w:rPr>
        <w:t xml:space="preserve"> </w:t>
      </w: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FFFFFFFF">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E9FADB20"/>
    <w:lvl w:ilvl="0" w:tplc="FFFFFFFF">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1"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4"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8"/>
  </w:num>
  <w:num w:numId="4">
    <w:abstractNumId w:val="12"/>
  </w:num>
  <w:num w:numId="5">
    <w:abstractNumId w:val="6"/>
  </w:num>
  <w:num w:numId="6">
    <w:abstractNumId w:val="19"/>
  </w:num>
  <w:num w:numId="7">
    <w:abstractNumId w:val="0"/>
  </w:num>
  <w:num w:numId="8">
    <w:abstractNumId w:val="11"/>
  </w:num>
  <w:num w:numId="9">
    <w:abstractNumId w:val="4"/>
  </w:num>
  <w:num w:numId="10">
    <w:abstractNumId w:val="9"/>
  </w:num>
  <w:num w:numId="11">
    <w:abstractNumId w:val="23"/>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5"/>
  </w:num>
  <w:num w:numId="19">
    <w:abstractNumId w:val="24"/>
  </w:num>
  <w:num w:numId="20">
    <w:abstractNumId w:val="13"/>
  </w:num>
  <w:num w:numId="21">
    <w:abstractNumId w:val="21"/>
  </w:num>
  <w:num w:numId="22">
    <w:abstractNumId w:val="17"/>
  </w:num>
  <w:num w:numId="23">
    <w:abstractNumId w:val="22"/>
  </w:num>
  <w:num w:numId="24">
    <w:abstractNumId w:val="18"/>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156C86"/>
    <w:rsid w:val="001647E6"/>
    <w:rsid w:val="0036378B"/>
    <w:rsid w:val="003B5803"/>
    <w:rsid w:val="004B33D7"/>
    <w:rsid w:val="005B457C"/>
    <w:rsid w:val="005C390C"/>
    <w:rsid w:val="00622C5D"/>
    <w:rsid w:val="0063438D"/>
    <w:rsid w:val="00703A9A"/>
    <w:rsid w:val="00877C7A"/>
    <w:rsid w:val="008F4DD9"/>
    <w:rsid w:val="00906322"/>
    <w:rsid w:val="00956707"/>
    <w:rsid w:val="00A2281F"/>
    <w:rsid w:val="00AE2FB0"/>
    <w:rsid w:val="00B153D5"/>
    <w:rsid w:val="00BE5427"/>
    <w:rsid w:val="00C36FAE"/>
    <w:rsid w:val="00C64174"/>
    <w:rsid w:val="00D4256D"/>
    <w:rsid w:val="00DFABE3"/>
    <w:rsid w:val="00E44D59"/>
    <w:rsid w:val="00EE7636"/>
    <w:rsid w:val="00F96DBC"/>
    <w:rsid w:val="013D9219"/>
    <w:rsid w:val="01660823"/>
    <w:rsid w:val="02234FE1"/>
    <w:rsid w:val="02E78EB8"/>
    <w:rsid w:val="034B3029"/>
    <w:rsid w:val="04835F19"/>
    <w:rsid w:val="063A7D91"/>
    <w:rsid w:val="09AFA37A"/>
    <w:rsid w:val="0C7548A1"/>
    <w:rsid w:val="116F0A88"/>
    <w:rsid w:val="11B6AF68"/>
    <w:rsid w:val="149A727C"/>
    <w:rsid w:val="17CC86FC"/>
    <w:rsid w:val="1A5AEB66"/>
    <w:rsid w:val="1AA2A603"/>
    <w:rsid w:val="1BAA8379"/>
    <w:rsid w:val="1E629C7B"/>
    <w:rsid w:val="211E01CB"/>
    <w:rsid w:val="231A2F40"/>
    <w:rsid w:val="2340FA19"/>
    <w:rsid w:val="24356B0C"/>
    <w:rsid w:val="24B5FFA1"/>
    <w:rsid w:val="25FE7E35"/>
    <w:rsid w:val="28335515"/>
    <w:rsid w:val="297AE420"/>
    <w:rsid w:val="2A77FC32"/>
    <w:rsid w:val="2CAA21CD"/>
    <w:rsid w:val="2CEE3741"/>
    <w:rsid w:val="2DB78A7A"/>
    <w:rsid w:val="2FC15FC3"/>
    <w:rsid w:val="2FFB6849"/>
    <w:rsid w:val="3025D803"/>
    <w:rsid w:val="31C170DA"/>
    <w:rsid w:val="32643CCF"/>
    <w:rsid w:val="3358865B"/>
    <w:rsid w:val="354DE5BE"/>
    <w:rsid w:val="36CB75EE"/>
    <w:rsid w:val="36F21F13"/>
    <w:rsid w:val="3AD078AB"/>
    <w:rsid w:val="3B435275"/>
    <w:rsid w:val="3B55569A"/>
    <w:rsid w:val="3BB5A271"/>
    <w:rsid w:val="3CD6C78D"/>
    <w:rsid w:val="3DB485E7"/>
    <w:rsid w:val="3EDD1B2C"/>
    <w:rsid w:val="4078EB8D"/>
    <w:rsid w:val="40EC26A9"/>
    <w:rsid w:val="433774A1"/>
    <w:rsid w:val="45983B1C"/>
    <w:rsid w:val="45A54E00"/>
    <w:rsid w:val="4ABCDF43"/>
    <w:rsid w:val="4C36C6D6"/>
    <w:rsid w:val="4F863AF5"/>
    <w:rsid w:val="4F8DA97E"/>
    <w:rsid w:val="513A8252"/>
    <w:rsid w:val="5189BFB9"/>
    <w:rsid w:val="51CEB0B6"/>
    <w:rsid w:val="526AA8AB"/>
    <w:rsid w:val="52AF6231"/>
    <w:rsid w:val="5441D8BB"/>
    <w:rsid w:val="55DAF31B"/>
    <w:rsid w:val="564D4317"/>
    <w:rsid w:val="565D30DC"/>
    <w:rsid w:val="56716C2D"/>
    <w:rsid w:val="57061790"/>
    <w:rsid w:val="5831DCC1"/>
    <w:rsid w:val="58FBA424"/>
    <w:rsid w:val="5937CA24"/>
    <w:rsid w:val="59CDAD22"/>
    <w:rsid w:val="5A44CC92"/>
    <w:rsid w:val="5AB11A3F"/>
    <w:rsid w:val="5ABC06BA"/>
    <w:rsid w:val="5B110CFA"/>
    <w:rsid w:val="5B5DD252"/>
    <w:rsid w:val="5BCFE4E5"/>
    <w:rsid w:val="5C21ABDD"/>
    <w:rsid w:val="5C4CEAA0"/>
    <w:rsid w:val="5D054DE4"/>
    <w:rsid w:val="5D2900B4"/>
    <w:rsid w:val="5DCF1547"/>
    <w:rsid w:val="5E129155"/>
    <w:rsid w:val="5FD22BFD"/>
    <w:rsid w:val="5FF220DC"/>
    <w:rsid w:val="60126386"/>
    <w:rsid w:val="61205BC3"/>
    <w:rsid w:val="61F2D6FD"/>
    <w:rsid w:val="63F45058"/>
    <w:rsid w:val="640E50EB"/>
    <w:rsid w:val="652A77BF"/>
    <w:rsid w:val="69E4C085"/>
    <w:rsid w:val="6DDCF35B"/>
    <w:rsid w:val="6E6D2BB4"/>
    <w:rsid w:val="6EB831A8"/>
    <w:rsid w:val="705AFFF6"/>
    <w:rsid w:val="707293C1"/>
    <w:rsid w:val="752F9288"/>
    <w:rsid w:val="754B10B8"/>
    <w:rsid w:val="756535A6"/>
    <w:rsid w:val="765827CD"/>
    <w:rsid w:val="7D3A7297"/>
    <w:rsid w:val="7D3AA46D"/>
    <w:rsid w:val="7E516859"/>
    <w:rsid w:val="7FD3E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5" ma:contentTypeDescription="Luo uusi asiakirja." ma:contentTypeScope="" ma:versionID="b32063d1382d33b0f1dc4e5fbc51e62e">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9e2daa3266fc80b50b9cc20633bd6bb7"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Props1.xml><?xml version="1.0" encoding="utf-8"?>
<ds:datastoreItem xmlns:ds="http://schemas.openxmlformats.org/officeDocument/2006/customXml" ds:itemID="{2398F010-F143-4544-8A2E-E7027C9E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de90-380f-421a-bc07-dca6c86585fe"/>
    <ds:schemaRef ds:uri="4b88dba7-2106-4a2d-927d-230304831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 ds:uri="9c70de90-380f-421a-bc07-dca6c86585fe"/>
    <ds:schemaRef ds:uri="4b88dba7-2106-4a2d-927d-2303048316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5488</Characters>
  <Application>Microsoft Office Word</Application>
  <DocSecurity>0</DocSecurity>
  <Lines>45</Lines>
  <Paragraphs>12</Paragraphs>
  <ScaleCrop>false</ScaleCrop>
  <Company>SAVONIA-AMK Oy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31</cp:revision>
  <dcterms:created xsi:type="dcterms:W3CDTF">2022-05-23T09:51:00Z</dcterms:created>
  <dcterms:modified xsi:type="dcterms:W3CDTF">2022-11-02T10:52:00Z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y fmtid="{D5CDD505-2E9C-101B-9397-08002B2CF9AE}" pid="3" name="MediaServiceImageTags">
    <vt:lpwstr/>
  </property>
</Properties>
</file>