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A0F2" w14:textId="01C29FFF" w:rsidR="00456E25" w:rsidRPr="00C6297A" w:rsidRDefault="00456E25" w:rsidP="00456E25">
      <w:pPr>
        <w:rPr>
          <w:snapToGrid w:val="0"/>
          <w:lang w:val="en-GB"/>
        </w:rPr>
      </w:pPr>
      <w:r w:rsidRPr="00C6297A">
        <w:rPr>
          <w:snapToGrid w:val="0"/>
          <w:lang w:val="en-GB"/>
        </w:rPr>
        <w:t xml:space="preserve">The studies for a </w:t>
      </w:r>
      <w:proofErr w:type="gramStart"/>
      <w:r w:rsidRPr="00C6297A">
        <w:rPr>
          <w:snapToGrid w:val="0"/>
          <w:lang w:val="en-GB"/>
        </w:rPr>
        <w:t>Bachelor’s Degree</w:t>
      </w:r>
      <w:proofErr w:type="gramEnd"/>
      <w:r w:rsidRPr="00C6297A">
        <w:rPr>
          <w:snapToGrid w:val="0"/>
          <w:lang w:val="en-GB"/>
        </w:rPr>
        <w:t xml:space="preserve"> programme in Internet of Things comprise 240 ECTS. According to the curriculum one academic year corresponds to 60 ECTS, which is equivalent to 1600 hours of a student’s </w:t>
      </w:r>
      <w:r w:rsidR="00F0684B" w:rsidRPr="00C6297A">
        <w:rPr>
          <w:snapToGrid w:val="0"/>
          <w:lang w:val="en-GB"/>
        </w:rPr>
        <w:t>workload</w:t>
      </w:r>
      <w:r w:rsidRPr="00C6297A">
        <w:rPr>
          <w:snapToGrid w:val="0"/>
          <w:lang w:val="en-GB"/>
        </w:rPr>
        <w:t xml:space="preserve">. The studies consist, among others, of lessons in class, distance learning and independent studies as well as web-based learning and internship. The studies include working </w:t>
      </w:r>
      <w:r w:rsidR="00F0684B" w:rsidRPr="00C6297A">
        <w:rPr>
          <w:snapToGrid w:val="0"/>
          <w:lang w:val="en-GB"/>
        </w:rPr>
        <w:t>life-oriented</w:t>
      </w:r>
      <w:r w:rsidRPr="00C6297A">
        <w:rPr>
          <w:snapToGrid w:val="0"/>
          <w:lang w:val="en-GB"/>
        </w:rPr>
        <w:t xml:space="preserve"> research and development activities.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456E25" w:rsidRPr="00C6297A" w14:paraId="4A40361F" w14:textId="77777777" w:rsidTr="003907A6">
        <w:tc>
          <w:tcPr>
            <w:tcW w:w="2093" w:type="dxa"/>
            <w:shd w:val="clear" w:color="auto" w:fill="0070C0"/>
          </w:tcPr>
          <w:p w14:paraId="75181F67" w14:textId="5B6EB200" w:rsidR="00456E25" w:rsidRPr="00C6297A" w:rsidRDefault="00456E25" w:rsidP="00BB6837">
            <w:pPr>
              <w:rPr>
                <w:rFonts w:asciiTheme="majorHAnsi" w:hAnsiTheme="majorHAnsi" w:cstheme="majorHAnsi"/>
                <w:b/>
                <w:color w:val="FFFFFF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0070C0"/>
          </w:tcPr>
          <w:p w14:paraId="3979BB2A" w14:textId="77777777" w:rsidR="00456E25" w:rsidRPr="00C6297A" w:rsidRDefault="00456E25" w:rsidP="00BB6837">
            <w:pPr>
              <w:rPr>
                <w:rFonts w:asciiTheme="majorHAnsi" w:hAnsiTheme="majorHAnsi" w:cstheme="majorHAnsi"/>
                <w:b/>
                <w:color w:val="FFFFFF"/>
                <w:szCs w:val="20"/>
                <w:lang w:val="en-GB"/>
              </w:rPr>
            </w:pPr>
            <w:r w:rsidRPr="00C6297A">
              <w:rPr>
                <w:rFonts w:asciiTheme="majorHAnsi" w:hAnsiTheme="majorHAnsi" w:cstheme="majorHAnsi"/>
                <w:b/>
                <w:color w:val="FFFFFF"/>
                <w:szCs w:val="20"/>
                <w:lang w:val="en-GB"/>
              </w:rPr>
              <w:t xml:space="preserve">Extent </w:t>
            </w:r>
          </w:p>
        </w:tc>
        <w:tc>
          <w:tcPr>
            <w:tcW w:w="6551" w:type="dxa"/>
            <w:shd w:val="clear" w:color="auto" w:fill="0070C0"/>
          </w:tcPr>
          <w:p w14:paraId="0E0E00C5" w14:textId="77777777" w:rsidR="00456E25" w:rsidRPr="00C6297A" w:rsidRDefault="00456E25" w:rsidP="00BB6837">
            <w:pPr>
              <w:rPr>
                <w:rFonts w:asciiTheme="majorHAnsi" w:hAnsiTheme="majorHAnsi" w:cstheme="majorHAnsi"/>
                <w:b/>
                <w:color w:val="FFFFFF"/>
                <w:szCs w:val="20"/>
                <w:lang w:val="en-GB"/>
              </w:rPr>
            </w:pPr>
            <w:r w:rsidRPr="00C6297A">
              <w:rPr>
                <w:rFonts w:asciiTheme="majorHAnsi" w:hAnsiTheme="majorHAnsi" w:cstheme="majorHAnsi"/>
                <w:b/>
                <w:color w:val="FFFFFF"/>
                <w:szCs w:val="20"/>
                <w:lang w:val="en-GB"/>
              </w:rPr>
              <w:t>Description of studies</w:t>
            </w:r>
          </w:p>
        </w:tc>
      </w:tr>
      <w:tr w:rsidR="00456E25" w:rsidRPr="00C6297A" w14:paraId="42157E4A" w14:textId="77777777" w:rsidTr="003907A6">
        <w:tc>
          <w:tcPr>
            <w:tcW w:w="2093" w:type="dxa"/>
          </w:tcPr>
          <w:p w14:paraId="1C6911B7" w14:textId="465E002F" w:rsidR="00456E25" w:rsidRPr="00C6297A" w:rsidRDefault="00E82E3A" w:rsidP="00BB6837">
            <w:pPr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  <w:r w:rsidRPr="00C6297A">
              <w:rPr>
                <w:rFonts w:asciiTheme="majorHAnsi" w:hAnsiTheme="majorHAnsi" w:cstheme="majorHAnsi"/>
                <w:b/>
                <w:szCs w:val="20"/>
                <w:lang w:val="en-GB"/>
              </w:rPr>
              <w:t>Common Basic Studies</w:t>
            </w:r>
          </w:p>
        </w:tc>
        <w:tc>
          <w:tcPr>
            <w:tcW w:w="1134" w:type="dxa"/>
          </w:tcPr>
          <w:p w14:paraId="05D953C7" w14:textId="07034CE6" w:rsidR="00456E25" w:rsidRPr="00C6297A" w:rsidRDefault="00930935" w:rsidP="00BB6837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50</w:t>
            </w:r>
            <w:r w:rsidR="00DD04C8">
              <w:rPr>
                <w:rFonts w:asciiTheme="majorHAnsi" w:hAnsiTheme="majorHAnsi" w:cstheme="majorHAnsi"/>
                <w:szCs w:val="20"/>
                <w:lang w:val="en-GB"/>
              </w:rPr>
              <w:t xml:space="preserve"> ECTS</w:t>
            </w:r>
          </w:p>
        </w:tc>
        <w:tc>
          <w:tcPr>
            <w:tcW w:w="6551" w:type="dxa"/>
          </w:tcPr>
          <w:p w14:paraId="74EE30D7" w14:textId="0315A3F5" w:rsidR="00230E39" w:rsidRPr="00230E39" w:rsidRDefault="00230E39" w:rsidP="00230E39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 xml:space="preserve">Common </w:t>
            </w:r>
            <w:r w:rsidRPr="00230E39">
              <w:rPr>
                <w:rFonts w:asciiTheme="majorHAnsi" w:hAnsiTheme="majorHAnsi" w:cstheme="majorHAnsi"/>
                <w:szCs w:val="20"/>
                <w:lang w:val="en-GB"/>
              </w:rPr>
              <w:t xml:space="preserve">Basic studies provide background information and skills in the field of </w:t>
            </w:r>
            <w:r>
              <w:rPr>
                <w:rFonts w:asciiTheme="majorHAnsi" w:hAnsiTheme="majorHAnsi" w:cstheme="majorHAnsi"/>
                <w:szCs w:val="20"/>
                <w:lang w:val="en-GB"/>
              </w:rPr>
              <w:t>Internet of Things</w:t>
            </w:r>
            <w:r w:rsidRPr="00230E39">
              <w:rPr>
                <w:rFonts w:asciiTheme="majorHAnsi" w:hAnsiTheme="majorHAnsi" w:cstheme="majorHAnsi"/>
                <w:szCs w:val="20"/>
                <w:lang w:val="en-GB"/>
              </w:rPr>
              <w:t>, which</w:t>
            </w:r>
            <w:r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Pr="00230E39">
              <w:rPr>
                <w:rFonts w:asciiTheme="majorHAnsi" w:hAnsiTheme="majorHAnsi" w:cstheme="majorHAnsi"/>
                <w:szCs w:val="20"/>
                <w:lang w:val="en-GB"/>
              </w:rPr>
              <w:t>are further deepened in professional and advanced studies.</w:t>
            </w:r>
          </w:p>
          <w:p w14:paraId="7D6FB8E7" w14:textId="2463C135" w:rsidR="00456E25" w:rsidRPr="00C6297A" w:rsidRDefault="00230E39" w:rsidP="00230E39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230E39">
              <w:rPr>
                <w:rFonts w:asciiTheme="majorHAnsi" w:hAnsiTheme="majorHAnsi" w:cstheme="majorHAnsi"/>
                <w:szCs w:val="20"/>
                <w:lang w:val="en-GB"/>
              </w:rPr>
              <w:t>Basic studies also provide communication, English and</w:t>
            </w:r>
            <w:r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Pr="00230E39">
              <w:rPr>
                <w:rFonts w:asciiTheme="majorHAnsi" w:hAnsiTheme="majorHAnsi" w:cstheme="majorHAnsi"/>
                <w:szCs w:val="20"/>
                <w:lang w:val="en-GB"/>
              </w:rPr>
              <w:t xml:space="preserve">basic knowledge of </w:t>
            </w:r>
            <w:r w:rsidR="00F8252A">
              <w:rPr>
                <w:rFonts w:asciiTheme="majorHAnsi" w:hAnsiTheme="majorHAnsi" w:cstheme="majorHAnsi"/>
                <w:szCs w:val="20"/>
                <w:lang w:val="en-GB"/>
              </w:rPr>
              <w:t>Finnish or Swedish</w:t>
            </w:r>
            <w:r w:rsidRPr="00230E39">
              <w:rPr>
                <w:rFonts w:asciiTheme="majorHAnsi" w:hAnsiTheme="majorHAnsi" w:cstheme="majorHAnsi"/>
                <w:szCs w:val="20"/>
                <w:lang w:val="en-GB"/>
              </w:rPr>
              <w:t xml:space="preserve"> and mathematical and natural sciences.</w:t>
            </w:r>
            <w:r>
              <w:rPr>
                <w:rFonts w:asciiTheme="majorHAnsi" w:hAnsiTheme="majorHAnsi" w:cstheme="majorHAnsi"/>
                <w:szCs w:val="20"/>
                <w:lang w:val="en-GB"/>
              </w:rPr>
              <w:t xml:space="preserve"> Common Basic</w:t>
            </w:r>
            <w:r w:rsidRPr="00230E39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Cs w:val="20"/>
                <w:lang w:val="en-GB"/>
              </w:rPr>
              <w:t>S</w:t>
            </w:r>
            <w:r w:rsidRPr="00230E39">
              <w:rPr>
                <w:rFonts w:asciiTheme="majorHAnsi" w:hAnsiTheme="majorHAnsi" w:cstheme="majorHAnsi"/>
                <w:szCs w:val="20"/>
                <w:lang w:val="en-GB"/>
              </w:rPr>
              <w:t>tudies are integrated to support the professional goals of the field.</w:t>
            </w:r>
          </w:p>
        </w:tc>
      </w:tr>
      <w:tr w:rsidR="003907A6" w:rsidRPr="002737FA" w14:paraId="483D987D" w14:textId="77777777" w:rsidTr="003907A6">
        <w:tc>
          <w:tcPr>
            <w:tcW w:w="2093" w:type="dxa"/>
          </w:tcPr>
          <w:p w14:paraId="2935CC38" w14:textId="77777777" w:rsidR="003907A6" w:rsidRPr="00C6297A" w:rsidRDefault="003907A6" w:rsidP="00BB6837">
            <w:pPr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0"/>
                <w:lang w:val="en-GB"/>
              </w:rPr>
              <w:t>Professional Studies</w:t>
            </w:r>
          </w:p>
        </w:tc>
        <w:tc>
          <w:tcPr>
            <w:tcW w:w="1134" w:type="dxa"/>
          </w:tcPr>
          <w:p w14:paraId="0FE8492D" w14:textId="77777777" w:rsidR="003907A6" w:rsidRPr="00C6297A" w:rsidRDefault="003907A6" w:rsidP="00BB6837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115 ECTS</w:t>
            </w:r>
          </w:p>
        </w:tc>
        <w:tc>
          <w:tcPr>
            <w:tcW w:w="6551" w:type="dxa"/>
          </w:tcPr>
          <w:p w14:paraId="5D4C0C1A" w14:textId="77777777" w:rsidR="003907A6" w:rsidRDefault="003907A6" w:rsidP="00BB6837">
            <w:pPr>
              <w:rPr>
                <w:rFonts w:asciiTheme="majorHAnsi" w:hAnsiTheme="majorHAnsi" w:cstheme="majorHAnsi"/>
                <w:szCs w:val="20"/>
                <w:lang w:val="en-US"/>
              </w:rPr>
            </w:pPr>
            <w:r w:rsidRPr="005C5147">
              <w:rPr>
                <w:rFonts w:asciiTheme="majorHAnsi" w:hAnsiTheme="majorHAnsi" w:cstheme="majorHAnsi"/>
                <w:szCs w:val="20"/>
                <w:lang w:val="en-US"/>
              </w:rPr>
              <w:t xml:space="preserve">Professional Studies provide strong foundation on </w:t>
            </w:r>
            <w:r>
              <w:rPr>
                <w:rFonts w:asciiTheme="majorHAnsi" w:hAnsiTheme="majorHAnsi" w:cstheme="majorHAnsi"/>
                <w:szCs w:val="20"/>
                <w:lang w:val="en-US"/>
              </w:rPr>
              <w:t>programming, networking, electronics, cybersecurity, and artificial intelligence. Practical applications of knowledge and skills are emphasized.</w:t>
            </w:r>
          </w:p>
          <w:p w14:paraId="49792998" w14:textId="77777777" w:rsidR="003907A6" w:rsidRPr="002737FA" w:rsidRDefault="003907A6" w:rsidP="00BB6837">
            <w:pPr>
              <w:rPr>
                <w:rFonts w:asciiTheme="majorHAnsi" w:hAnsiTheme="majorHAnsi" w:cstheme="majorHAnsi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Cs w:val="20"/>
                <w:lang w:val="en-US"/>
              </w:rPr>
              <w:t xml:space="preserve">Constant evolution of IoT ecosystem and its devices and methods </w:t>
            </w:r>
            <w:proofErr w:type="gramStart"/>
            <w:r>
              <w:rPr>
                <w:rFonts w:asciiTheme="majorHAnsi" w:hAnsiTheme="majorHAnsi" w:cstheme="majorHAnsi"/>
                <w:szCs w:val="20"/>
                <w:lang w:val="en-US"/>
              </w:rPr>
              <w:t>is</w:t>
            </w:r>
            <w:proofErr w:type="gramEnd"/>
            <w:r>
              <w:rPr>
                <w:rFonts w:asciiTheme="majorHAnsi" w:hAnsiTheme="majorHAnsi" w:cstheme="majorHAnsi"/>
                <w:szCs w:val="20"/>
                <w:lang w:val="en-US"/>
              </w:rPr>
              <w:t xml:space="preserve"> in the focus of Professional Studies. </w:t>
            </w:r>
            <w:r w:rsidRPr="002737FA">
              <w:rPr>
                <w:rFonts w:asciiTheme="majorHAnsi" w:hAnsiTheme="majorHAnsi" w:cstheme="majorHAnsi"/>
                <w:szCs w:val="20"/>
                <w:lang w:val="en-US"/>
              </w:rPr>
              <w:t xml:space="preserve">These studies also build skills for teamwork, project management and </w:t>
            </w:r>
            <w:r>
              <w:rPr>
                <w:rFonts w:asciiTheme="majorHAnsi" w:hAnsiTheme="majorHAnsi" w:cstheme="majorHAnsi"/>
                <w:szCs w:val="20"/>
                <w:lang w:val="en-US"/>
              </w:rPr>
              <w:t>public presentations.</w:t>
            </w:r>
          </w:p>
        </w:tc>
      </w:tr>
      <w:tr w:rsidR="00C415AB" w:rsidRPr="002737FA" w14:paraId="076CA278" w14:textId="77777777" w:rsidTr="00BB6837">
        <w:tc>
          <w:tcPr>
            <w:tcW w:w="2093" w:type="dxa"/>
          </w:tcPr>
          <w:p w14:paraId="6FA027A2" w14:textId="77777777" w:rsidR="00C415AB" w:rsidRPr="00C6297A" w:rsidRDefault="00C415AB" w:rsidP="00BB6837">
            <w:pPr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0"/>
                <w:lang w:val="en-GB"/>
              </w:rPr>
              <w:t>Advanced Studies</w:t>
            </w:r>
          </w:p>
        </w:tc>
        <w:tc>
          <w:tcPr>
            <w:tcW w:w="1134" w:type="dxa"/>
          </w:tcPr>
          <w:p w14:paraId="6E1D6397" w14:textId="77777777" w:rsidR="00C415AB" w:rsidRPr="00C6297A" w:rsidRDefault="00C415AB" w:rsidP="00BB6837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15 ECTS</w:t>
            </w:r>
          </w:p>
        </w:tc>
        <w:tc>
          <w:tcPr>
            <w:tcW w:w="6551" w:type="dxa"/>
          </w:tcPr>
          <w:p w14:paraId="6D23DD13" w14:textId="64B74E11" w:rsidR="00C415AB" w:rsidRDefault="00D86E38" w:rsidP="00BB6837">
            <w:pPr>
              <w:rPr>
                <w:rFonts w:asciiTheme="majorHAnsi" w:hAnsiTheme="majorHAnsi" w:cstheme="majorHAnsi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Cs w:val="20"/>
                <w:lang w:val="en-US"/>
              </w:rPr>
              <w:t xml:space="preserve">In </w:t>
            </w:r>
            <w:r w:rsidR="00025D63">
              <w:rPr>
                <w:rFonts w:asciiTheme="majorHAnsi" w:hAnsiTheme="majorHAnsi" w:cstheme="majorHAnsi"/>
                <w:szCs w:val="20"/>
                <w:lang w:val="en-US"/>
              </w:rPr>
              <w:t>Advanced Studies</w:t>
            </w:r>
            <w:r>
              <w:rPr>
                <w:rFonts w:asciiTheme="majorHAnsi" w:hAnsiTheme="majorHAnsi" w:cstheme="majorHAnsi"/>
                <w:szCs w:val="20"/>
                <w:lang w:val="en-US"/>
              </w:rPr>
              <w:t xml:space="preserve"> the student can </w:t>
            </w:r>
            <w:r w:rsidR="00ED6BF4">
              <w:rPr>
                <w:rFonts w:asciiTheme="majorHAnsi" w:hAnsiTheme="majorHAnsi" w:cstheme="majorHAnsi"/>
                <w:szCs w:val="20"/>
                <w:lang w:val="en-US"/>
              </w:rPr>
              <w:t>deepen his/her skills in IoT Embedded Engineering or IoT Cloud Engineering</w:t>
            </w:r>
            <w:r w:rsidR="00F23B43">
              <w:rPr>
                <w:rFonts w:asciiTheme="majorHAnsi" w:hAnsiTheme="majorHAnsi" w:cstheme="majorHAnsi"/>
                <w:szCs w:val="20"/>
                <w:lang w:val="en-US"/>
              </w:rPr>
              <w:t xml:space="preserve"> </w:t>
            </w:r>
            <w:r w:rsidR="00953F4A">
              <w:rPr>
                <w:rFonts w:asciiTheme="majorHAnsi" w:hAnsiTheme="majorHAnsi" w:cstheme="majorHAnsi"/>
                <w:szCs w:val="20"/>
                <w:lang w:val="en-US"/>
              </w:rPr>
              <w:t>specializations.</w:t>
            </w:r>
          </w:p>
          <w:p w14:paraId="05C41F30" w14:textId="77777777" w:rsidR="00ED6BF4" w:rsidRDefault="00DF16FD" w:rsidP="00BB6837">
            <w:pPr>
              <w:rPr>
                <w:rFonts w:asciiTheme="majorHAnsi" w:hAnsiTheme="majorHAnsi" w:cstheme="majorHAnsi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Cs w:val="20"/>
                <w:lang w:val="en-US"/>
              </w:rPr>
              <w:t xml:space="preserve">IoT Embedded Engineering focuses on advanced electronics </w:t>
            </w:r>
            <w:r w:rsidR="00AB2FC8">
              <w:rPr>
                <w:rFonts w:asciiTheme="majorHAnsi" w:hAnsiTheme="majorHAnsi" w:cstheme="majorHAnsi"/>
                <w:szCs w:val="20"/>
                <w:lang w:val="en-US"/>
              </w:rPr>
              <w:t>and embedded and real-time programming.</w:t>
            </w:r>
          </w:p>
          <w:p w14:paraId="43895AC9" w14:textId="01FFFA09" w:rsidR="00AB2FC8" w:rsidRPr="002737FA" w:rsidRDefault="00083B90" w:rsidP="00BB6837">
            <w:pPr>
              <w:rPr>
                <w:rFonts w:asciiTheme="majorHAnsi" w:hAnsiTheme="majorHAnsi" w:cstheme="majorHAnsi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Cs w:val="20"/>
                <w:lang w:val="en-US"/>
              </w:rPr>
              <w:t xml:space="preserve">IoT Cloud Engineering </w:t>
            </w:r>
            <w:r w:rsidR="00AE5030">
              <w:rPr>
                <w:rFonts w:asciiTheme="majorHAnsi" w:hAnsiTheme="majorHAnsi" w:cstheme="majorHAnsi"/>
                <w:szCs w:val="20"/>
                <w:lang w:val="en-US"/>
              </w:rPr>
              <w:t xml:space="preserve">focuses on big data and its visualization and </w:t>
            </w:r>
            <w:r w:rsidR="00844B29">
              <w:rPr>
                <w:rFonts w:asciiTheme="majorHAnsi" w:hAnsiTheme="majorHAnsi" w:cstheme="majorHAnsi"/>
                <w:szCs w:val="20"/>
                <w:lang w:val="en-US"/>
              </w:rPr>
              <w:t xml:space="preserve">a </w:t>
            </w:r>
            <w:r w:rsidR="00AE5030">
              <w:rPr>
                <w:rFonts w:asciiTheme="majorHAnsi" w:hAnsiTheme="majorHAnsi" w:cstheme="majorHAnsi"/>
                <w:szCs w:val="20"/>
                <w:lang w:val="en-US"/>
              </w:rPr>
              <w:t>cloud certification.</w:t>
            </w:r>
          </w:p>
        </w:tc>
      </w:tr>
      <w:tr w:rsidR="00456E25" w:rsidRPr="00C6297A" w14:paraId="06E679A3" w14:textId="77777777" w:rsidTr="003907A6">
        <w:tc>
          <w:tcPr>
            <w:tcW w:w="2093" w:type="dxa"/>
          </w:tcPr>
          <w:p w14:paraId="09D5921D" w14:textId="67471EAF" w:rsidR="00456E25" w:rsidRPr="00C6297A" w:rsidRDefault="008D5200" w:rsidP="00BB6837">
            <w:pPr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0"/>
                <w:lang w:val="en-GB"/>
              </w:rPr>
              <w:t>Internship</w:t>
            </w:r>
          </w:p>
        </w:tc>
        <w:tc>
          <w:tcPr>
            <w:tcW w:w="1134" w:type="dxa"/>
          </w:tcPr>
          <w:p w14:paraId="61530F91" w14:textId="46D189C6" w:rsidR="00456E25" w:rsidRPr="00C6297A" w:rsidRDefault="008D5200" w:rsidP="00BB6837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30 ECTS</w:t>
            </w:r>
          </w:p>
        </w:tc>
        <w:tc>
          <w:tcPr>
            <w:tcW w:w="6551" w:type="dxa"/>
          </w:tcPr>
          <w:p w14:paraId="4A890DE2" w14:textId="3C7136EB" w:rsidR="00456E25" w:rsidRPr="00F23B43" w:rsidRDefault="000D4AB4" w:rsidP="00953F4A">
            <w:pPr>
              <w:rPr>
                <w:rFonts w:asciiTheme="majorHAnsi" w:hAnsiTheme="majorHAnsi" w:cstheme="majorHAnsi"/>
                <w:iCs/>
                <w:color w:val="0070C0"/>
                <w:szCs w:val="20"/>
                <w:lang w:val="en-GB"/>
              </w:rPr>
            </w:pPr>
            <w:r w:rsidRPr="00953F4A">
              <w:rPr>
                <w:rFonts w:asciiTheme="majorHAnsi" w:hAnsiTheme="majorHAnsi" w:cstheme="majorHAnsi"/>
                <w:szCs w:val="20"/>
                <w:lang w:val="en-US"/>
              </w:rPr>
              <w:t>During the internship, the student familiarizes himself with practical work activities and acquires</w:t>
            </w:r>
            <w:r w:rsidRPr="00953F4A">
              <w:rPr>
                <w:rFonts w:asciiTheme="majorHAnsi" w:hAnsiTheme="majorHAnsi" w:cstheme="majorHAnsi"/>
                <w:szCs w:val="20"/>
                <w:lang w:val="en-US"/>
              </w:rPr>
              <w:t xml:space="preserve"> </w:t>
            </w:r>
            <w:r w:rsidRPr="00953F4A">
              <w:rPr>
                <w:rFonts w:asciiTheme="majorHAnsi" w:hAnsiTheme="majorHAnsi" w:cstheme="majorHAnsi"/>
                <w:szCs w:val="20"/>
                <w:lang w:val="en-US"/>
              </w:rPr>
              <w:t>skills for choosing different modes of operation and work methods,</w:t>
            </w:r>
            <w:r w:rsidRPr="00953F4A">
              <w:rPr>
                <w:rFonts w:asciiTheme="majorHAnsi" w:hAnsiTheme="majorHAnsi" w:cstheme="majorHAnsi"/>
                <w:szCs w:val="20"/>
                <w:lang w:val="en-US"/>
              </w:rPr>
              <w:t xml:space="preserve"> </w:t>
            </w:r>
            <w:r w:rsidRPr="00953F4A">
              <w:rPr>
                <w:rFonts w:asciiTheme="majorHAnsi" w:hAnsiTheme="majorHAnsi" w:cstheme="majorHAnsi"/>
                <w:szCs w:val="20"/>
                <w:lang w:val="en-US"/>
              </w:rPr>
              <w:t>for use and application. In training, you also learn to develop</w:t>
            </w:r>
            <w:r w:rsidR="00C06E91" w:rsidRPr="00953F4A">
              <w:rPr>
                <w:rFonts w:asciiTheme="majorHAnsi" w:hAnsiTheme="majorHAnsi" w:cstheme="majorHAnsi"/>
                <w:szCs w:val="20"/>
                <w:lang w:val="en-US"/>
              </w:rPr>
              <w:t xml:space="preserve"> </w:t>
            </w:r>
            <w:r w:rsidRPr="00953F4A">
              <w:rPr>
                <w:rFonts w:asciiTheme="majorHAnsi" w:hAnsiTheme="majorHAnsi" w:cstheme="majorHAnsi"/>
                <w:szCs w:val="20"/>
                <w:lang w:val="en-US"/>
              </w:rPr>
              <w:t>customer- and working-life-oriented new solutions and operational quality.</w:t>
            </w:r>
            <w:r w:rsidR="00C06E91" w:rsidRPr="00953F4A">
              <w:rPr>
                <w:rFonts w:asciiTheme="majorHAnsi" w:hAnsiTheme="majorHAnsi" w:cstheme="majorHAnsi"/>
                <w:szCs w:val="20"/>
                <w:lang w:val="en-US"/>
              </w:rPr>
              <w:t xml:space="preserve"> </w:t>
            </w:r>
            <w:r w:rsidRPr="00953F4A">
              <w:rPr>
                <w:rFonts w:asciiTheme="majorHAnsi" w:hAnsiTheme="majorHAnsi" w:cstheme="majorHAnsi"/>
                <w:szCs w:val="20"/>
                <w:lang w:val="en-US"/>
              </w:rPr>
              <w:t>Internship prepares professional skills for the demands of working life</w:t>
            </w:r>
            <w:r w:rsidR="00C06E91" w:rsidRPr="00953F4A">
              <w:rPr>
                <w:rFonts w:asciiTheme="majorHAnsi" w:hAnsiTheme="majorHAnsi" w:cstheme="majorHAnsi"/>
                <w:szCs w:val="20"/>
                <w:lang w:val="en-US"/>
              </w:rPr>
              <w:t xml:space="preserve"> </w:t>
            </w:r>
            <w:r w:rsidRPr="00953F4A">
              <w:rPr>
                <w:rFonts w:asciiTheme="majorHAnsi" w:hAnsiTheme="majorHAnsi" w:cstheme="majorHAnsi"/>
                <w:szCs w:val="20"/>
                <w:lang w:val="en-US"/>
              </w:rPr>
              <w:t xml:space="preserve">by deepening and helping to find employment the field of education and </w:t>
            </w:r>
            <w:r w:rsidR="00F23B43" w:rsidRPr="00953F4A">
              <w:rPr>
                <w:rFonts w:asciiTheme="majorHAnsi" w:hAnsiTheme="majorHAnsi" w:cstheme="majorHAnsi"/>
                <w:szCs w:val="20"/>
                <w:lang w:val="en-US"/>
              </w:rPr>
              <w:t>specialization.</w:t>
            </w:r>
          </w:p>
        </w:tc>
      </w:tr>
      <w:tr w:rsidR="00456E25" w:rsidRPr="00C6297A" w14:paraId="07B8B566" w14:textId="77777777" w:rsidTr="003907A6">
        <w:tc>
          <w:tcPr>
            <w:tcW w:w="2093" w:type="dxa"/>
          </w:tcPr>
          <w:p w14:paraId="52D51038" w14:textId="299BC4C8" w:rsidR="00456E25" w:rsidRPr="00C6297A" w:rsidRDefault="00C415AB" w:rsidP="00BB6837">
            <w:pPr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0"/>
                <w:lang w:val="en-GB"/>
              </w:rPr>
              <w:t>Thesis</w:t>
            </w:r>
          </w:p>
          <w:p w14:paraId="52DC226A" w14:textId="77777777" w:rsidR="00456E25" w:rsidRPr="00C6297A" w:rsidRDefault="00456E25" w:rsidP="00BB6837">
            <w:pPr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2210FD4" w14:textId="77777777" w:rsidR="00456E25" w:rsidRPr="00C6297A" w:rsidRDefault="00456E25" w:rsidP="00BB6837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C6297A">
              <w:rPr>
                <w:rFonts w:asciiTheme="majorHAnsi" w:hAnsiTheme="majorHAnsi" w:cstheme="majorHAnsi"/>
                <w:szCs w:val="20"/>
                <w:lang w:val="en-GB"/>
              </w:rPr>
              <w:t xml:space="preserve">15 </w:t>
            </w:r>
            <w:proofErr w:type="gramStart"/>
            <w:r w:rsidRPr="00C6297A">
              <w:rPr>
                <w:rFonts w:asciiTheme="majorHAnsi" w:hAnsiTheme="majorHAnsi" w:cstheme="majorHAnsi"/>
                <w:szCs w:val="20"/>
                <w:lang w:val="en-GB"/>
              </w:rPr>
              <w:t>op</w:t>
            </w:r>
            <w:proofErr w:type="gramEnd"/>
          </w:p>
        </w:tc>
        <w:tc>
          <w:tcPr>
            <w:tcW w:w="6551" w:type="dxa"/>
          </w:tcPr>
          <w:p w14:paraId="1813D324" w14:textId="45097882" w:rsidR="00FC4352" w:rsidRDefault="00AF19EA" w:rsidP="00AF19EA">
            <w:pPr>
              <w:rPr>
                <w:rFonts w:asciiTheme="majorHAnsi" w:hAnsiTheme="majorHAnsi" w:cstheme="majorHAnsi"/>
                <w:szCs w:val="20"/>
                <w:lang w:val="en-US"/>
              </w:rPr>
            </w:pP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>The thesis is the student's working life-related learning process, which</w:t>
            </w:r>
            <w:r w:rsidR="00BE6B6E">
              <w:rPr>
                <w:rFonts w:asciiTheme="majorHAnsi" w:hAnsiTheme="majorHAnsi" w:cstheme="majorHAnsi"/>
                <w:szCs w:val="20"/>
                <w:lang w:val="en-US"/>
              </w:rPr>
              <w:t xml:space="preserve"> </w:t>
            </w: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>experts support, guide and evaluate. The aim is that</w:t>
            </w:r>
            <w:r w:rsidR="00BE6B6E">
              <w:rPr>
                <w:rFonts w:asciiTheme="majorHAnsi" w:hAnsiTheme="majorHAnsi" w:cstheme="majorHAnsi"/>
                <w:szCs w:val="20"/>
                <w:lang w:val="en-US"/>
              </w:rPr>
              <w:t xml:space="preserve"> </w:t>
            </w: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 xml:space="preserve">the student develops </w:t>
            </w:r>
            <w:r w:rsidR="00634410">
              <w:rPr>
                <w:rFonts w:asciiTheme="majorHAnsi" w:hAnsiTheme="majorHAnsi" w:cstheme="majorHAnsi"/>
                <w:szCs w:val="20"/>
                <w:lang w:val="en-US"/>
              </w:rPr>
              <w:t>his/her professional field</w:t>
            </w: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 xml:space="preserve"> with his thesis at the same time as the process</w:t>
            </w:r>
            <w:r w:rsidR="00BE6B6E">
              <w:rPr>
                <w:rFonts w:asciiTheme="majorHAnsi" w:hAnsiTheme="majorHAnsi" w:cstheme="majorHAnsi"/>
                <w:szCs w:val="20"/>
                <w:lang w:val="en-US"/>
              </w:rPr>
              <w:t xml:space="preserve"> </w:t>
            </w: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>deepen</w:t>
            </w:r>
            <w:r w:rsidR="00FD2B95">
              <w:rPr>
                <w:rFonts w:asciiTheme="majorHAnsi" w:hAnsiTheme="majorHAnsi" w:cstheme="majorHAnsi"/>
                <w:szCs w:val="20"/>
                <w:lang w:val="en-US"/>
              </w:rPr>
              <w:t>s</w:t>
            </w: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 xml:space="preserve"> his</w:t>
            </w:r>
            <w:r w:rsidR="00FD2B95">
              <w:rPr>
                <w:rFonts w:asciiTheme="majorHAnsi" w:hAnsiTheme="majorHAnsi" w:cstheme="majorHAnsi"/>
                <w:szCs w:val="20"/>
                <w:lang w:val="en-US"/>
              </w:rPr>
              <w:t>/her</w:t>
            </w: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 xml:space="preserve"> expertise in the chosen subject. Theses</w:t>
            </w:r>
            <w:r w:rsidR="00FD2B95">
              <w:rPr>
                <w:rFonts w:asciiTheme="majorHAnsi" w:hAnsiTheme="majorHAnsi" w:cstheme="majorHAnsi"/>
                <w:szCs w:val="20"/>
                <w:lang w:val="en-US"/>
              </w:rPr>
              <w:t xml:space="preserve"> </w:t>
            </w: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 xml:space="preserve">can be </w:t>
            </w:r>
            <w:r w:rsidRPr="00FC4352">
              <w:rPr>
                <w:rFonts w:asciiTheme="majorHAnsi" w:hAnsiTheme="majorHAnsi" w:cstheme="majorHAnsi"/>
                <w:szCs w:val="20"/>
                <w:highlight w:val="yellow"/>
                <w:lang w:val="en-US"/>
              </w:rPr>
              <w:t xml:space="preserve">investigative, </w:t>
            </w:r>
            <w:proofErr w:type="gramStart"/>
            <w:r w:rsidRPr="00FC4352">
              <w:rPr>
                <w:rFonts w:asciiTheme="majorHAnsi" w:hAnsiTheme="majorHAnsi" w:cstheme="majorHAnsi"/>
                <w:szCs w:val="20"/>
                <w:highlight w:val="yellow"/>
                <w:lang w:val="en-US"/>
              </w:rPr>
              <w:t>functional</w:t>
            </w:r>
            <w:proofErr w:type="gramEnd"/>
            <w:r w:rsidRPr="00FC4352">
              <w:rPr>
                <w:rFonts w:asciiTheme="majorHAnsi" w:hAnsiTheme="majorHAnsi" w:cstheme="majorHAnsi"/>
                <w:szCs w:val="20"/>
                <w:highlight w:val="yellow"/>
                <w:lang w:val="en-US"/>
              </w:rPr>
              <w:t xml:space="preserve"> </w:t>
            </w:r>
            <w:r w:rsidRPr="00FC4352">
              <w:rPr>
                <w:rFonts w:asciiTheme="majorHAnsi" w:hAnsiTheme="majorHAnsi" w:cstheme="majorHAnsi"/>
                <w:szCs w:val="20"/>
                <w:highlight w:val="yellow"/>
                <w:lang w:val="en-US"/>
              </w:rPr>
              <w:lastRenderedPageBreak/>
              <w:t>or subjective creative</w:t>
            </w:r>
            <w:r w:rsidR="00FC4352">
              <w:rPr>
                <w:rFonts w:asciiTheme="majorHAnsi" w:hAnsiTheme="majorHAnsi" w:cstheme="majorHAnsi"/>
                <w:szCs w:val="20"/>
                <w:lang w:val="en-US"/>
              </w:rPr>
              <w:t xml:space="preserve"> </w:t>
            </w: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 xml:space="preserve">expression. </w:t>
            </w:r>
            <w:r w:rsidR="005E2968">
              <w:rPr>
                <w:rFonts w:asciiTheme="majorHAnsi" w:hAnsiTheme="majorHAnsi" w:cstheme="majorHAnsi"/>
                <w:szCs w:val="20"/>
                <w:lang w:val="en-US"/>
              </w:rPr>
              <w:t>In thesis process t</w:t>
            </w: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>he student is responsible for</w:t>
            </w:r>
          </w:p>
          <w:p w14:paraId="10DC411A" w14:textId="46D97D89" w:rsidR="00FC4352" w:rsidRPr="005E2968" w:rsidRDefault="003C0C6E" w:rsidP="005E2968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Cs w:val="20"/>
                <w:lang w:val="en-US"/>
              </w:rPr>
              <w:t>searching</w:t>
            </w:r>
            <w:r w:rsidR="00AF19EA" w:rsidRPr="005E2968">
              <w:rPr>
                <w:rFonts w:asciiTheme="majorHAnsi" w:hAnsiTheme="majorHAnsi" w:cstheme="majorHAnsi"/>
                <w:szCs w:val="20"/>
                <w:lang w:val="en-US"/>
              </w:rPr>
              <w:t xml:space="preserve"> for a thesis idea and working life connection</w:t>
            </w:r>
          </w:p>
          <w:p w14:paraId="3E470F1E" w14:textId="4C9CF9CE" w:rsidR="00FC4352" w:rsidRPr="003C0C6E" w:rsidRDefault="00AF19EA" w:rsidP="003C0C6E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0"/>
                <w:lang w:val="en-US"/>
              </w:rPr>
            </w:pPr>
            <w:r w:rsidRPr="005E2968">
              <w:rPr>
                <w:rFonts w:asciiTheme="majorHAnsi" w:hAnsiTheme="majorHAnsi" w:cstheme="majorHAnsi"/>
                <w:szCs w:val="20"/>
                <w:lang w:val="en-US"/>
              </w:rPr>
              <w:t>familiarization with the assignment area of the thesis and the assignment</w:t>
            </w:r>
            <w:r w:rsidR="003C0C6E">
              <w:rPr>
                <w:rFonts w:asciiTheme="majorHAnsi" w:hAnsiTheme="majorHAnsi" w:cstheme="majorHAnsi"/>
                <w:szCs w:val="20"/>
                <w:lang w:val="en-US"/>
              </w:rPr>
              <w:t xml:space="preserve"> </w:t>
            </w:r>
            <w:r w:rsidRPr="003C0C6E">
              <w:rPr>
                <w:rFonts w:asciiTheme="majorHAnsi" w:hAnsiTheme="majorHAnsi" w:cstheme="majorHAnsi"/>
                <w:szCs w:val="20"/>
                <w:lang w:val="en-US"/>
              </w:rPr>
              <w:t>setting</w:t>
            </w:r>
          </w:p>
          <w:p w14:paraId="06965AE6" w14:textId="77777777" w:rsidR="00FC4352" w:rsidRPr="005E2968" w:rsidRDefault="00AF19EA" w:rsidP="005E2968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0"/>
                <w:lang w:val="en-US"/>
              </w:rPr>
            </w:pPr>
            <w:r w:rsidRPr="005E2968">
              <w:rPr>
                <w:rFonts w:asciiTheme="majorHAnsi" w:hAnsiTheme="majorHAnsi" w:cstheme="majorHAnsi"/>
                <w:szCs w:val="20"/>
                <w:lang w:val="en-US"/>
              </w:rPr>
              <w:t>performing and reporting the assigned task</w:t>
            </w:r>
          </w:p>
          <w:p w14:paraId="2C0139C5" w14:textId="06ABC44C" w:rsidR="00AF19EA" w:rsidRPr="005E2968" w:rsidRDefault="00AF19EA" w:rsidP="005E2968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0"/>
                <w:lang w:val="en-US"/>
              </w:rPr>
            </w:pPr>
            <w:r w:rsidRPr="005E2968">
              <w:rPr>
                <w:rFonts w:asciiTheme="majorHAnsi" w:hAnsiTheme="majorHAnsi" w:cstheme="majorHAnsi"/>
                <w:szCs w:val="20"/>
                <w:lang w:val="en-US"/>
              </w:rPr>
              <w:t>finalizing the thesis and preparing the information material.</w:t>
            </w:r>
          </w:p>
          <w:p w14:paraId="57663980" w14:textId="1074D267" w:rsidR="00456E25" w:rsidRPr="00AF19EA" w:rsidRDefault="00AF19EA" w:rsidP="00AF19EA">
            <w:pPr>
              <w:rPr>
                <w:rFonts w:asciiTheme="majorHAnsi" w:hAnsiTheme="majorHAnsi" w:cstheme="majorHAnsi"/>
                <w:szCs w:val="20"/>
                <w:lang w:val="en-US"/>
              </w:rPr>
            </w:pP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 xml:space="preserve">The thesis offers a flexible gateway to transition into working life and a good </w:t>
            </w:r>
            <w:r w:rsidR="005E2968">
              <w:rPr>
                <w:rFonts w:asciiTheme="majorHAnsi" w:hAnsiTheme="majorHAnsi" w:cstheme="majorHAnsi"/>
                <w:szCs w:val="20"/>
                <w:lang w:val="en-US"/>
              </w:rPr>
              <w:t>networking opportunity</w:t>
            </w: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 xml:space="preserve"> in </w:t>
            </w:r>
            <w:r w:rsidR="005E2968">
              <w:rPr>
                <w:rFonts w:asciiTheme="majorHAnsi" w:hAnsiTheme="majorHAnsi" w:cstheme="majorHAnsi"/>
                <w:szCs w:val="20"/>
                <w:lang w:val="en-US"/>
              </w:rPr>
              <w:t>the professional</w:t>
            </w:r>
            <w:r w:rsidRPr="00AF19EA">
              <w:rPr>
                <w:rFonts w:asciiTheme="majorHAnsi" w:hAnsiTheme="majorHAnsi" w:cstheme="majorHAnsi"/>
                <w:szCs w:val="20"/>
                <w:lang w:val="en-US"/>
              </w:rPr>
              <w:t xml:space="preserve"> field.</w:t>
            </w:r>
          </w:p>
        </w:tc>
      </w:tr>
      <w:tr w:rsidR="00C95BE0" w:rsidRPr="00C6297A" w14:paraId="7C396E76" w14:textId="77777777" w:rsidTr="003907A6">
        <w:tc>
          <w:tcPr>
            <w:tcW w:w="2093" w:type="dxa"/>
          </w:tcPr>
          <w:p w14:paraId="176B98C6" w14:textId="192B93C6" w:rsidR="00C95BE0" w:rsidRPr="00C6297A" w:rsidRDefault="00C95BE0" w:rsidP="00C95BE0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0"/>
                <w:lang w:val="en-GB"/>
              </w:rPr>
              <w:lastRenderedPageBreak/>
              <w:t>Elective Studies</w:t>
            </w:r>
          </w:p>
        </w:tc>
        <w:tc>
          <w:tcPr>
            <w:tcW w:w="1134" w:type="dxa"/>
          </w:tcPr>
          <w:p w14:paraId="15D0B0CF" w14:textId="37D0DB03" w:rsidR="00C95BE0" w:rsidRPr="00C6297A" w:rsidRDefault="00C95BE0" w:rsidP="00C95BE0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15 ECTS</w:t>
            </w:r>
          </w:p>
        </w:tc>
        <w:tc>
          <w:tcPr>
            <w:tcW w:w="6551" w:type="dxa"/>
          </w:tcPr>
          <w:p w14:paraId="5076DC76" w14:textId="77777777" w:rsidR="00C95BE0" w:rsidRDefault="00C95BE0" w:rsidP="00C95BE0">
            <w:pPr>
              <w:rPr>
                <w:rFonts w:asciiTheme="majorHAnsi" w:hAnsiTheme="majorHAnsi" w:cstheme="majorHAnsi"/>
                <w:szCs w:val="20"/>
                <w:lang w:val="en-US"/>
              </w:rPr>
            </w:pPr>
            <w:r w:rsidRPr="005C5147">
              <w:rPr>
                <w:rFonts w:asciiTheme="majorHAnsi" w:hAnsiTheme="majorHAnsi" w:cstheme="majorHAnsi"/>
                <w:szCs w:val="20"/>
                <w:lang w:val="en-US"/>
              </w:rPr>
              <w:t xml:space="preserve">Professional Studies provide strong foundation on </w:t>
            </w:r>
            <w:r>
              <w:rPr>
                <w:rFonts w:asciiTheme="majorHAnsi" w:hAnsiTheme="majorHAnsi" w:cstheme="majorHAnsi"/>
                <w:szCs w:val="20"/>
                <w:lang w:val="en-US"/>
              </w:rPr>
              <w:t>programming, networking, electronics, cybersecurity, and artificial intelligence. Practical applications of knowledge and skills are emphasized.</w:t>
            </w:r>
          </w:p>
          <w:p w14:paraId="021BB69E" w14:textId="133C8228" w:rsidR="00C95BE0" w:rsidRPr="00C6297A" w:rsidRDefault="00C95BE0" w:rsidP="00C95BE0">
            <w:pPr>
              <w:rPr>
                <w:rFonts w:asciiTheme="majorHAnsi" w:hAnsiTheme="majorHAnsi" w:cstheme="majorHAnsi"/>
                <w:color w:val="31A3B5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US"/>
              </w:rPr>
              <w:t xml:space="preserve">Constant evolution of IoT ecosystem and its devices and methods </w:t>
            </w:r>
            <w:r w:rsidR="0029262E">
              <w:rPr>
                <w:rFonts w:asciiTheme="majorHAnsi" w:hAnsiTheme="majorHAnsi" w:cstheme="majorHAnsi"/>
                <w:szCs w:val="20"/>
                <w:lang w:val="en-US"/>
              </w:rPr>
              <w:t>are</w:t>
            </w:r>
            <w:r>
              <w:rPr>
                <w:rFonts w:asciiTheme="majorHAnsi" w:hAnsiTheme="majorHAnsi" w:cstheme="majorHAnsi"/>
                <w:szCs w:val="20"/>
                <w:lang w:val="en-US"/>
              </w:rPr>
              <w:t xml:space="preserve"> in the focus of Professional Studies. </w:t>
            </w:r>
            <w:r w:rsidRPr="002737FA">
              <w:rPr>
                <w:rFonts w:asciiTheme="majorHAnsi" w:hAnsiTheme="majorHAnsi" w:cstheme="majorHAnsi"/>
                <w:szCs w:val="20"/>
                <w:lang w:val="en-US"/>
              </w:rPr>
              <w:t xml:space="preserve">These studies also build skills for teamwork, project management and </w:t>
            </w:r>
            <w:r>
              <w:rPr>
                <w:rFonts w:asciiTheme="majorHAnsi" w:hAnsiTheme="majorHAnsi" w:cstheme="majorHAnsi"/>
                <w:szCs w:val="20"/>
                <w:lang w:val="en-US"/>
              </w:rPr>
              <w:t>public presentations.</w:t>
            </w:r>
          </w:p>
        </w:tc>
      </w:tr>
      <w:tr w:rsidR="00456E25" w:rsidRPr="00C6297A" w14:paraId="0C29C233" w14:textId="77777777" w:rsidTr="003907A6">
        <w:tc>
          <w:tcPr>
            <w:tcW w:w="2093" w:type="dxa"/>
          </w:tcPr>
          <w:p w14:paraId="424FA55F" w14:textId="0CF4A01F" w:rsidR="00456E25" w:rsidRPr="00C6297A" w:rsidRDefault="00BB044D" w:rsidP="00BB6837">
            <w:pPr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0"/>
                <w:lang w:val="en-GB"/>
              </w:rPr>
              <w:t>Total</w:t>
            </w:r>
          </w:p>
        </w:tc>
        <w:tc>
          <w:tcPr>
            <w:tcW w:w="1134" w:type="dxa"/>
          </w:tcPr>
          <w:p w14:paraId="04880BB3" w14:textId="3375905F" w:rsidR="00456E25" w:rsidRPr="00C6297A" w:rsidRDefault="00456E25" w:rsidP="00BB6837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C6297A">
              <w:rPr>
                <w:rFonts w:asciiTheme="majorHAnsi" w:hAnsiTheme="majorHAnsi" w:cstheme="majorHAnsi"/>
                <w:szCs w:val="20"/>
                <w:lang w:val="en-GB"/>
              </w:rPr>
              <w:t xml:space="preserve">240 </w:t>
            </w:r>
            <w:r w:rsidR="00BB044D">
              <w:rPr>
                <w:rFonts w:asciiTheme="majorHAnsi" w:hAnsiTheme="majorHAnsi" w:cstheme="majorHAnsi"/>
                <w:szCs w:val="20"/>
                <w:lang w:val="en-GB"/>
              </w:rPr>
              <w:t>ECTS</w:t>
            </w:r>
          </w:p>
        </w:tc>
        <w:tc>
          <w:tcPr>
            <w:tcW w:w="6551" w:type="dxa"/>
          </w:tcPr>
          <w:p w14:paraId="723591DD" w14:textId="77777777" w:rsidR="00456E25" w:rsidRPr="00C6297A" w:rsidRDefault="00456E25" w:rsidP="00BB6837">
            <w:pPr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</w:tr>
    </w:tbl>
    <w:p w14:paraId="3DF6F636" w14:textId="390BDC32" w:rsidR="007C55BF" w:rsidRPr="00C6297A" w:rsidRDefault="00456E25">
      <w:pPr>
        <w:rPr>
          <w:lang w:val="en-GB"/>
        </w:rPr>
      </w:pPr>
      <w:r w:rsidRPr="00C6297A">
        <w:rPr>
          <w:rFonts w:cs="Calibri"/>
          <w:lang w:val="en-GB"/>
        </w:rPr>
        <w:br w:type="page"/>
      </w:r>
    </w:p>
    <w:p w14:paraId="40AF881C" w14:textId="77777777" w:rsidR="00C6297A" w:rsidRPr="00C6297A" w:rsidRDefault="00C6297A">
      <w:pPr>
        <w:rPr>
          <w:lang w:val="en-GB"/>
        </w:rPr>
      </w:pPr>
    </w:p>
    <w:sectPr w:rsidR="00C6297A" w:rsidRPr="00C629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BF3DEC"/>
    <w:multiLevelType w:val="hybridMultilevel"/>
    <w:tmpl w:val="AF1C5B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605902">
    <w:abstractNumId w:val="1"/>
  </w:num>
  <w:num w:numId="2" w16cid:durableId="316035722">
    <w:abstractNumId w:val="0"/>
  </w:num>
  <w:num w:numId="3" w16cid:durableId="31853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25"/>
    <w:rsid w:val="00025D63"/>
    <w:rsid w:val="000600B4"/>
    <w:rsid w:val="00083B90"/>
    <w:rsid w:val="000D4AB4"/>
    <w:rsid w:val="00183B6B"/>
    <w:rsid w:val="001847A6"/>
    <w:rsid w:val="001939BF"/>
    <w:rsid w:val="001A320C"/>
    <w:rsid w:val="002219BF"/>
    <w:rsid w:val="0022507C"/>
    <w:rsid w:val="00230E39"/>
    <w:rsid w:val="002737FA"/>
    <w:rsid w:val="0029262E"/>
    <w:rsid w:val="00371432"/>
    <w:rsid w:val="003907A6"/>
    <w:rsid w:val="003A4F85"/>
    <w:rsid w:val="003C0C6E"/>
    <w:rsid w:val="00403A95"/>
    <w:rsid w:val="00424CC2"/>
    <w:rsid w:val="00456E25"/>
    <w:rsid w:val="0051581D"/>
    <w:rsid w:val="005C5147"/>
    <w:rsid w:val="005E2968"/>
    <w:rsid w:val="00634410"/>
    <w:rsid w:val="00844B29"/>
    <w:rsid w:val="008D5200"/>
    <w:rsid w:val="00930935"/>
    <w:rsid w:val="00953F4A"/>
    <w:rsid w:val="0095483A"/>
    <w:rsid w:val="009B4018"/>
    <w:rsid w:val="00A2185B"/>
    <w:rsid w:val="00AB2FC8"/>
    <w:rsid w:val="00AE5030"/>
    <w:rsid w:val="00AF19EA"/>
    <w:rsid w:val="00BB044D"/>
    <w:rsid w:val="00BE6B6E"/>
    <w:rsid w:val="00C06E91"/>
    <w:rsid w:val="00C415AB"/>
    <w:rsid w:val="00C6297A"/>
    <w:rsid w:val="00C95BE0"/>
    <w:rsid w:val="00D66D31"/>
    <w:rsid w:val="00D86E38"/>
    <w:rsid w:val="00DD04C8"/>
    <w:rsid w:val="00DF16FD"/>
    <w:rsid w:val="00E82E3A"/>
    <w:rsid w:val="00ED6BF4"/>
    <w:rsid w:val="00F0684B"/>
    <w:rsid w:val="00F23B43"/>
    <w:rsid w:val="00F32E1A"/>
    <w:rsid w:val="00F522E2"/>
    <w:rsid w:val="00F8252A"/>
    <w:rsid w:val="00FC4352"/>
    <w:rsid w:val="00F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BAA790"/>
  <w15:chartTrackingRefBased/>
  <w15:docId w15:val="{DF006EC0-61A4-654A-911F-F63B3BC7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6E25"/>
    <w:pPr>
      <w:spacing w:before="240" w:after="240" w:line="260" w:lineRule="exact"/>
    </w:pPr>
    <w:rPr>
      <w:rFonts w:ascii="Georgia" w:eastAsia="Times New Roman" w:hAnsi="Georgia" w:cs="Times New Roman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uiPriority w:val="34"/>
    <w:qFormat/>
    <w:rsid w:val="00456E25"/>
    <w:pPr>
      <w:numPr>
        <w:numId w:val="2"/>
      </w:numPr>
      <w:spacing w:before="240" w:after="240" w:line="276" w:lineRule="auto"/>
      <w:contextualSpacing/>
    </w:pPr>
    <w:rPr>
      <w:rFonts w:ascii="Georgia" w:eastAsia="Times New Roman" w:hAnsi="Georgia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FB1E924FEB4804EBB8DDEE591262FF8" ma:contentTypeVersion="4" ma:contentTypeDescription="Luo uusi asiakirja." ma:contentTypeScope="" ma:versionID="167d195995cc3ab0333dc82d5b6a4968">
  <xsd:schema xmlns:xsd="http://www.w3.org/2001/XMLSchema" xmlns:xs="http://www.w3.org/2001/XMLSchema" xmlns:p="http://schemas.microsoft.com/office/2006/metadata/properties" xmlns:ns2="0ac12551-7bed-4c0f-b424-738a91c49c93" targetNamespace="http://schemas.microsoft.com/office/2006/metadata/properties" ma:root="true" ma:fieldsID="85a5a6fa90670e253e2228a5c1918fa1" ns2:_="">
    <xsd:import namespace="0ac12551-7bed-4c0f-b424-738a91c49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12551-7bed-4c0f-b424-738a91c49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A0050-C77B-4D9A-A8D1-C93CBA6E7787}"/>
</file>

<file path=customXml/itemProps2.xml><?xml version="1.0" encoding="utf-8"?>
<ds:datastoreItem xmlns:ds="http://schemas.openxmlformats.org/officeDocument/2006/customXml" ds:itemID="{DAE4C906-E8C4-4CAD-997A-E8FAEB742225}"/>
</file>

<file path=customXml/itemProps3.xml><?xml version="1.0" encoding="utf-8"?>
<ds:datastoreItem xmlns:ds="http://schemas.openxmlformats.org/officeDocument/2006/customXml" ds:itemID="{FD6C4FE4-4380-4A1C-90B2-860670DC25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368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Kellomäki</dc:creator>
  <cp:keywords/>
  <dc:description/>
  <cp:lastModifiedBy>Markku Kellomäki</cp:lastModifiedBy>
  <cp:revision>51</cp:revision>
  <dcterms:created xsi:type="dcterms:W3CDTF">2022-09-22T07:35:00Z</dcterms:created>
  <dcterms:modified xsi:type="dcterms:W3CDTF">2022-09-22T10:47:00Z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0x0101004FB1E924FEB4804EBB8DDEE591262FF8</vt:lpwstr>
  </property>
</Properties>
</file>