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EAE8B6" w14:textId="77777777" w:rsidR="00AD3FC5" w:rsidRPr="008E064E" w:rsidRDefault="00AD3FC5" w:rsidP="5B46B285">
      <w:pPr>
        <w:shd w:val="clear" w:color="auto" w:fill="FFFFFF" w:themeFill="background1"/>
        <w:spacing w:after="240"/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val="en-US"/>
        </w:rPr>
      </w:pPr>
      <w:r w:rsidRPr="008E064E"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val="en-US"/>
        </w:rPr>
        <w:t>Structure of studies</w:t>
      </w:r>
    </w:p>
    <w:p w14:paraId="52734255" w14:textId="70A1CF5D" w:rsidR="004E1183" w:rsidRPr="00B153D5" w:rsidRDefault="004E1183" w:rsidP="5B46B285">
      <w:pPr>
        <w:shd w:val="clear" w:color="auto" w:fill="FFFFFF" w:themeFill="background1"/>
        <w:spacing w:after="240"/>
        <w:rPr>
          <w:rFonts w:ascii="Tahoma" w:eastAsia="Times New Roman" w:hAnsi="Tahoma" w:cs="Tahoma"/>
          <w:color w:val="000000"/>
          <w:sz w:val="20"/>
          <w:szCs w:val="20"/>
          <w:lang w:val="en-US"/>
        </w:rPr>
      </w:pPr>
      <w:r w:rsidRPr="77B4E98C">
        <w:rPr>
          <w:rFonts w:ascii="Tahoma" w:eastAsia="Times New Roman" w:hAnsi="Tahoma" w:cs="Tahoma"/>
          <w:color w:val="000000" w:themeColor="text1"/>
          <w:sz w:val="20"/>
          <w:szCs w:val="20"/>
          <w:lang w:val="en-US"/>
        </w:rPr>
        <w:t xml:space="preserve">The studies of </w:t>
      </w:r>
      <w:r w:rsidRPr="77B4E98C">
        <w:rPr>
          <w:rFonts w:ascii="Tahoma" w:eastAsia="Times New Roman" w:hAnsi="Tahoma" w:cs="Tahoma"/>
          <w:sz w:val="20"/>
          <w:szCs w:val="20"/>
          <w:lang w:val="en-US"/>
        </w:rPr>
        <w:t>an industrial management engineer</w:t>
      </w:r>
      <w:r w:rsidRPr="77B4E98C">
        <w:rPr>
          <w:rFonts w:ascii="Tahoma" w:eastAsia="Times New Roman" w:hAnsi="Tahoma" w:cs="Tahoma"/>
          <w:color w:val="FF0000"/>
          <w:sz w:val="20"/>
          <w:szCs w:val="20"/>
          <w:lang w:val="en-US"/>
        </w:rPr>
        <w:t xml:space="preserve"> </w:t>
      </w:r>
      <w:r w:rsidRPr="004E1183">
        <w:rPr>
          <w:rFonts w:ascii="Tahoma" w:eastAsia="Times New Roman" w:hAnsi="Tahoma" w:cs="Tahoma"/>
          <w:sz w:val="20"/>
          <w:szCs w:val="20"/>
          <w:lang w:val="en-US"/>
        </w:rPr>
        <w:t xml:space="preserve">account for </w:t>
      </w:r>
      <w:r w:rsidRPr="77B4E98C">
        <w:rPr>
          <w:rFonts w:ascii="Tahoma" w:eastAsia="Times New Roman" w:hAnsi="Tahoma" w:cs="Tahoma"/>
          <w:color w:val="000000" w:themeColor="text1"/>
          <w:sz w:val="20"/>
          <w:szCs w:val="20"/>
          <w:lang w:val="en-US"/>
        </w:rPr>
        <w:t xml:space="preserve">240 credits. According to the curriculum, one year of studies equals to 60 credits, which means 1600 hours of </w:t>
      </w:r>
      <w:r w:rsidRPr="004E1183">
        <w:rPr>
          <w:rFonts w:ascii="Tahoma" w:eastAsia="Times New Roman" w:hAnsi="Tahoma" w:cs="Tahoma"/>
          <w:sz w:val="20"/>
          <w:szCs w:val="20"/>
          <w:lang w:val="en-US"/>
        </w:rPr>
        <w:t xml:space="preserve">student’s work. </w:t>
      </w:r>
      <w:r w:rsidRPr="77B4E98C">
        <w:rPr>
          <w:rFonts w:ascii="Tahoma" w:eastAsia="Times New Roman" w:hAnsi="Tahoma" w:cs="Tahoma"/>
          <w:color w:val="000000" w:themeColor="text1"/>
          <w:sz w:val="20"/>
          <w:szCs w:val="20"/>
          <w:lang w:val="en-US"/>
        </w:rPr>
        <w:t>The study work consists of e.g. lectures, online and independent study, and practical training. The studies include research and development activities based on working life</w:t>
      </w:r>
      <w:r>
        <w:rPr>
          <w:rFonts w:ascii="Tahoma" w:eastAsia="Times New Roman" w:hAnsi="Tahoma" w:cs="Tahoma"/>
          <w:color w:val="000000" w:themeColor="text1"/>
          <w:sz w:val="20"/>
          <w:szCs w:val="20"/>
          <w:lang w:val="en-US"/>
        </w:rPr>
        <w:t>.</w:t>
      </w:r>
    </w:p>
    <w:tbl>
      <w:tblPr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134"/>
        <w:gridCol w:w="6551"/>
      </w:tblGrid>
      <w:tr w:rsidR="00B153D5" w:rsidRPr="00C26896" w14:paraId="2FA77C9B" w14:textId="77777777" w:rsidTr="44C62228">
        <w:tc>
          <w:tcPr>
            <w:tcW w:w="2093" w:type="dxa"/>
            <w:shd w:val="clear" w:color="auto" w:fill="31A3B5"/>
          </w:tcPr>
          <w:p w14:paraId="27F12436" w14:textId="77777777" w:rsidR="00B153D5" w:rsidRPr="00AD3FC5" w:rsidRDefault="00B153D5" w:rsidP="007D4A96">
            <w:pPr>
              <w:spacing w:before="240"/>
              <w:rPr>
                <w:rFonts w:ascii="Tahoma" w:hAnsi="Tahoma" w:cs="Tahoma"/>
                <w:b/>
                <w:color w:val="FFFFFF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31A3B5"/>
          </w:tcPr>
          <w:p w14:paraId="6906F678" w14:textId="052C7572" w:rsidR="00B153D5" w:rsidRPr="00C26896" w:rsidRDefault="008E064E" w:rsidP="007D4A96">
            <w:pPr>
              <w:spacing w:before="240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FFFFFF"/>
                <w:sz w:val="20"/>
                <w:szCs w:val="20"/>
              </w:rPr>
              <w:t>Extent</w:t>
            </w:r>
            <w:r w:rsidR="00B153D5" w:rsidRPr="00C26896">
              <w:rPr>
                <w:rFonts w:ascii="Tahoma" w:hAnsi="Tahoma" w:cs="Tahoma"/>
                <w:b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6551" w:type="dxa"/>
            <w:shd w:val="clear" w:color="auto" w:fill="31A3B5"/>
          </w:tcPr>
          <w:p w14:paraId="4B2A450A" w14:textId="79C7EC27" w:rsidR="00B153D5" w:rsidRPr="00C26896" w:rsidRDefault="008E064E" w:rsidP="007D4A96">
            <w:pPr>
              <w:spacing w:before="240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FFFFFF"/>
                <w:sz w:val="20"/>
                <w:szCs w:val="20"/>
              </w:rPr>
              <w:t>Description of studies</w:t>
            </w:r>
          </w:p>
        </w:tc>
      </w:tr>
      <w:tr w:rsidR="00B153D5" w:rsidRPr="00614285" w14:paraId="7573A261" w14:textId="77777777" w:rsidTr="44C62228">
        <w:tc>
          <w:tcPr>
            <w:tcW w:w="2093" w:type="dxa"/>
          </w:tcPr>
          <w:p w14:paraId="47641655" w14:textId="6743A9C1" w:rsidR="00B153D5" w:rsidRPr="00C26896" w:rsidRDefault="00367467" w:rsidP="007D4A96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Basic studies</w:t>
            </w:r>
            <w:r w:rsidR="00B153D5" w:rsidRPr="00C26896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B153D5" w:rsidRPr="00C26896">
              <w:rPr>
                <w:rFonts w:ascii="Tahoma" w:hAnsi="Tahoma" w:cs="Tahoma"/>
                <w:b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14:paraId="65B9946B" w14:textId="2D2195AC" w:rsidR="00B153D5" w:rsidRPr="00C26896" w:rsidRDefault="008E064E" w:rsidP="007D4A96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60</w:t>
            </w:r>
            <w:r w:rsidR="00B153D5" w:rsidRPr="00C2689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ECTS</w:t>
            </w:r>
          </w:p>
        </w:tc>
        <w:tc>
          <w:tcPr>
            <w:tcW w:w="6551" w:type="dxa"/>
          </w:tcPr>
          <w:p w14:paraId="0B8481C9" w14:textId="6D017736" w:rsidR="00B153D5" w:rsidRPr="00E70586" w:rsidRDefault="00F666C6" w:rsidP="007D4A96">
            <w:pPr>
              <w:spacing w:before="24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744D6">
              <w:rPr>
                <w:rFonts w:ascii="Tahoma" w:hAnsi="Tahoma" w:cs="Tahoma"/>
                <w:sz w:val="20"/>
                <w:szCs w:val="20"/>
                <w:lang w:val="en-US"/>
              </w:rPr>
              <w:t>Basic studies consist of compulsory courses that provide the student with a solid foundation for industrial management</w:t>
            </w:r>
            <w:r w:rsidR="00404D78">
              <w:rPr>
                <w:rFonts w:ascii="Tahoma" w:hAnsi="Tahoma" w:cs="Tahoma"/>
                <w:sz w:val="20"/>
                <w:szCs w:val="20"/>
                <w:lang w:val="en-US"/>
              </w:rPr>
              <w:t xml:space="preserve"> professional studies</w:t>
            </w:r>
            <w:r w:rsidR="00D744D6" w:rsidRPr="00D744D6">
              <w:rPr>
                <w:rFonts w:ascii="Tahoma" w:hAnsi="Tahoma" w:cs="Tahoma"/>
                <w:sz w:val="20"/>
                <w:szCs w:val="20"/>
                <w:lang w:val="en-US"/>
              </w:rPr>
              <w:t xml:space="preserve"> and guide him/h</w:t>
            </w:r>
            <w:r w:rsidR="00D744D6">
              <w:rPr>
                <w:rFonts w:ascii="Tahoma" w:hAnsi="Tahoma" w:cs="Tahoma"/>
                <w:sz w:val="20"/>
                <w:szCs w:val="20"/>
                <w:lang w:val="en-US"/>
              </w:rPr>
              <w:t>er to business and economic thinking in a multicultural environment</w:t>
            </w:r>
            <w:r w:rsidR="00B82CB3">
              <w:rPr>
                <w:rFonts w:ascii="Tahoma" w:hAnsi="Tahoma" w:cs="Tahoma"/>
                <w:sz w:val="20"/>
                <w:szCs w:val="20"/>
                <w:lang w:val="en-US"/>
              </w:rPr>
              <w:t xml:space="preserve">. </w:t>
            </w:r>
            <w:r w:rsidR="00B82CB3" w:rsidRPr="00B82CB3">
              <w:rPr>
                <w:rFonts w:ascii="Tahoma" w:hAnsi="Tahoma" w:cs="Tahoma"/>
                <w:sz w:val="20"/>
                <w:szCs w:val="20"/>
                <w:lang w:val="en-US"/>
              </w:rPr>
              <w:t>In addition, the studies give essential skills needed for personal learning, career planning and professional stud</w:t>
            </w:r>
            <w:r w:rsidR="00B82CB3">
              <w:rPr>
                <w:rFonts w:ascii="Tahoma" w:hAnsi="Tahoma" w:cs="Tahoma"/>
                <w:sz w:val="20"/>
                <w:szCs w:val="20"/>
                <w:lang w:val="en-US"/>
              </w:rPr>
              <w:t>ies.</w:t>
            </w:r>
            <w:r w:rsidR="00B153D5" w:rsidRPr="00E70586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</w:tc>
      </w:tr>
      <w:tr w:rsidR="00B153D5" w:rsidRPr="00614285" w14:paraId="09568EEB" w14:textId="77777777" w:rsidTr="44C62228">
        <w:tc>
          <w:tcPr>
            <w:tcW w:w="2093" w:type="dxa"/>
          </w:tcPr>
          <w:p w14:paraId="70296370" w14:textId="4DE4E8C4" w:rsidR="00B153D5" w:rsidRPr="00C26896" w:rsidRDefault="001E7EAA" w:rsidP="007D4A96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Professional </w:t>
            </w:r>
            <w:r w:rsidR="00367467">
              <w:rPr>
                <w:rFonts w:ascii="Tahoma" w:hAnsi="Tahoma" w:cs="Tahoma"/>
                <w:b/>
                <w:sz w:val="20"/>
                <w:szCs w:val="20"/>
              </w:rPr>
              <w:t>s</w:t>
            </w:r>
            <w:r>
              <w:rPr>
                <w:rFonts w:ascii="Tahoma" w:hAnsi="Tahoma" w:cs="Tahoma"/>
                <w:b/>
                <w:sz w:val="20"/>
                <w:szCs w:val="20"/>
              </w:rPr>
              <w:t>tudies</w:t>
            </w:r>
          </w:p>
        </w:tc>
        <w:tc>
          <w:tcPr>
            <w:tcW w:w="1134" w:type="dxa"/>
          </w:tcPr>
          <w:p w14:paraId="7ED8B7CB" w14:textId="1ED36AC7" w:rsidR="00B153D5" w:rsidRPr="00C26896" w:rsidRDefault="24EE7AA7" w:rsidP="007D4A96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37DE9FF2">
              <w:rPr>
                <w:rFonts w:ascii="Tahoma" w:hAnsi="Tahoma" w:cs="Tahoma"/>
                <w:sz w:val="20"/>
                <w:szCs w:val="20"/>
              </w:rPr>
              <w:t>120</w:t>
            </w:r>
            <w:r w:rsidR="00B153D5" w:rsidRPr="37DE9FF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E064E" w:rsidRPr="37DE9FF2">
              <w:rPr>
                <w:rFonts w:ascii="Tahoma" w:hAnsi="Tahoma" w:cs="Tahoma"/>
                <w:sz w:val="20"/>
                <w:szCs w:val="20"/>
              </w:rPr>
              <w:t>ECTS</w:t>
            </w:r>
          </w:p>
        </w:tc>
        <w:tc>
          <w:tcPr>
            <w:tcW w:w="6551" w:type="dxa"/>
            <w:tcBorders>
              <w:bottom w:val="single" w:sz="4" w:space="0" w:color="000000" w:themeColor="text1"/>
            </w:tcBorders>
          </w:tcPr>
          <w:p w14:paraId="0D18BEA6" w14:textId="1A47B278" w:rsidR="007D2869" w:rsidRPr="00795BFA" w:rsidRDefault="00E714ED" w:rsidP="00614285">
            <w:pPr>
              <w:spacing w:before="24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44C62228">
              <w:rPr>
                <w:rFonts w:ascii="Tahoma" w:hAnsi="Tahoma" w:cs="Tahoma"/>
                <w:sz w:val="20"/>
                <w:szCs w:val="20"/>
                <w:lang w:val="en-US"/>
              </w:rPr>
              <w:t>Professional studies provide students with good knowledge</w:t>
            </w:r>
            <w:r w:rsidR="00367BDE" w:rsidRPr="44C62228">
              <w:rPr>
                <w:rFonts w:ascii="Tahoma" w:hAnsi="Tahoma" w:cs="Tahoma"/>
                <w:sz w:val="20"/>
                <w:szCs w:val="20"/>
                <w:lang w:val="en-US"/>
              </w:rPr>
              <w:t xml:space="preserve"> of industrial processes and engineer’s basic competencies in industrial management, </w:t>
            </w:r>
            <w:r w:rsidR="00795BFA" w:rsidRPr="44C62228">
              <w:rPr>
                <w:rFonts w:ascii="Tahoma" w:hAnsi="Tahoma" w:cs="Tahoma"/>
                <w:sz w:val="20"/>
                <w:szCs w:val="20"/>
                <w:lang w:val="en-US"/>
              </w:rPr>
              <w:t xml:space="preserve">mechanical engineering </w:t>
            </w:r>
            <w:r w:rsidR="00F25988" w:rsidRPr="44C62228">
              <w:rPr>
                <w:rFonts w:ascii="Tahoma" w:hAnsi="Tahoma" w:cs="Tahoma"/>
                <w:sz w:val="20"/>
                <w:szCs w:val="20"/>
                <w:lang w:val="en-US"/>
              </w:rPr>
              <w:t xml:space="preserve">and </w:t>
            </w:r>
            <w:r w:rsidR="00FB4CA5" w:rsidRPr="44C62228">
              <w:rPr>
                <w:rFonts w:ascii="Tahoma" w:hAnsi="Tahoma" w:cs="Tahoma"/>
                <w:sz w:val="20"/>
                <w:szCs w:val="20"/>
                <w:lang w:val="en-US"/>
              </w:rPr>
              <w:t xml:space="preserve">lays foundation in </w:t>
            </w:r>
            <w:r w:rsidR="0DA9E608" w:rsidRPr="44C62228">
              <w:rPr>
                <w:rFonts w:ascii="Tahoma" w:hAnsi="Tahoma" w:cs="Tahoma"/>
                <w:sz w:val="20"/>
                <w:szCs w:val="20"/>
                <w:lang w:val="en-US"/>
              </w:rPr>
              <w:t xml:space="preserve">internet of things (IoT) and </w:t>
            </w:r>
            <w:r w:rsidR="00FB4CA5" w:rsidRPr="44C62228">
              <w:rPr>
                <w:rFonts w:ascii="Tahoma" w:hAnsi="Tahoma" w:cs="Tahoma"/>
                <w:sz w:val="20"/>
                <w:szCs w:val="20"/>
                <w:lang w:val="en-US"/>
              </w:rPr>
              <w:t>energy technology</w:t>
            </w:r>
            <w:r w:rsidR="058E4DED" w:rsidRPr="44C62228">
              <w:rPr>
                <w:rFonts w:ascii="Tahoma" w:hAnsi="Tahoma" w:cs="Tahoma"/>
                <w:sz w:val="20"/>
                <w:szCs w:val="20"/>
                <w:lang w:val="en-US"/>
              </w:rPr>
              <w:t>.</w:t>
            </w:r>
            <w:r w:rsidR="00A33DFF" w:rsidRPr="44C62228">
              <w:rPr>
                <w:rFonts w:ascii="Tahoma" w:hAnsi="Tahoma" w:cs="Tahoma"/>
                <w:sz w:val="20"/>
                <w:szCs w:val="20"/>
                <w:lang w:val="en-US"/>
              </w:rPr>
              <w:t xml:space="preserve"> These studies provide students also with good knowledge and understanding of business processes and business life in society. </w:t>
            </w:r>
            <w:r w:rsidR="005703B7" w:rsidRPr="44C62228">
              <w:rPr>
                <w:rFonts w:ascii="Tahoma" w:hAnsi="Tahoma" w:cs="Tahoma"/>
                <w:sz w:val="20"/>
                <w:szCs w:val="20"/>
                <w:lang w:val="en-US"/>
              </w:rPr>
              <w:t>Student</w:t>
            </w:r>
            <w:r w:rsidR="007D2869">
              <w:rPr>
                <w:rFonts w:ascii="Tahoma" w:hAnsi="Tahoma" w:cs="Tahoma"/>
                <w:sz w:val="20"/>
                <w:szCs w:val="20"/>
                <w:lang w:val="en-US"/>
              </w:rPr>
              <w:t>s</w:t>
            </w:r>
            <w:r w:rsidR="005703B7" w:rsidRPr="44C62228">
              <w:rPr>
                <w:rFonts w:ascii="Tahoma" w:hAnsi="Tahoma" w:cs="Tahoma"/>
                <w:sz w:val="20"/>
                <w:szCs w:val="20"/>
                <w:lang w:val="en-US"/>
              </w:rPr>
              <w:t xml:space="preserve"> g</w:t>
            </w:r>
            <w:r w:rsidR="007D2869">
              <w:rPr>
                <w:rFonts w:ascii="Tahoma" w:hAnsi="Tahoma" w:cs="Tahoma"/>
                <w:sz w:val="20"/>
                <w:szCs w:val="20"/>
                <w:lang w:val="en-US"/>
              </w:rPr>
              <w:t>ain</w:t>
            </w:r>
            <w:r w:rsidR="005703B7" w:rsidRPr="44C62228">
              <w:rPr>
                <w:rFonts w:ascii="Tahoma" w:hAnsi="Tahoma" w:cs="Tahoma"/>
                <w:sz w:val="20"/>
                <w:szCs w:val="20"/>
                <w:lang w:val="en-US"/>
              </w:rPr>
              <w:t xml:space="preserve"> professional </w:t>
            </w:r>
            <w:r w:rsidR="00642DF1" w:rsidRPr="44C62228">
              <w:rPr>
                <w:rFonts w:ascii="Tahoma" w:hAnsi="Tahoma" w:cs="Tahoma"/>
                <w:sz w:val="20"/>
                <w:szCs w:val="20"/>
                <w:lang w:val="en-US"/>
              </w:rPr>
              <w:t>skills in</w:t>
            </w:r>
            <w:r w:rsidR="00BD08B3" w:rsidRPr="44C62228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="00642DF1" w:rsidRPr="44C62228">
              <w:rPr>
                <w:rFonts w:ascii="Tahoma" w:hAnsi="Tahoma" w:cs="Tahoma"/>
                <w:sz w:val="20"/>
                <w:szCs w:val="20"/>
                <w:lang w:val="en-US"/>
              </w:rPr>
              <w:t xml:space="preserve">project management </w:t>
            </w:r>
            <w:r w:rsidR="006428F7" w:rsidRPr="44C62228">
              <w:rPr>
                <w:rFonts w:ascii="Tahoma" w:hAnsi="Tahoma" w:cs="Tahoma"/>
                <w:sz w:val="20"/>
                <w:szCs w:val="20"/>
                <w:lang w:val="en-US"/>
              </w:rPr>
              <w:t xml:space="preserve">to be </w:t>
            </w:r>
            <w:r w:rsidR="00134163" w:rsidRPr="44C62228">
              <w:rPr>
                <w:rFonts w:ascii="Tahoma" w:hAnsi="Tahoma" w:cs="Tahoma"/>
                <w:sz w:val="20"/>
                <w:szCs w:val="20"/>
                <w:lang w:val="en-US"/>
              </w:rPr>
              <w:t>appl</w:t>
            </w:r>
            <w:r w:rsidR="006428F7" w:rsidRPr="44C62228">
              <w:rPr>
                <w:rFonts w:ascii="Tahoma" w:hAnsi="Tahoma" w:cs="Tahoma"/>
                <w:sz w:val="20"/>
                <w:szCs w:val="20"/>
                <w:lang w:val="en-US"/>
              </w:rPr>
              <w:t>ied</w:t>
            </w:r>
            <w:r w:rsidR="00134163" w:rsidRPr="44C62228">
              <w:rPr>
                <w:rFonts w:ascii="Tahoma" w:hAnsi="Tahoma" w:cs="Tahoma"/>
                <w:sz w:val="20"/>
                <w:szCs w:val="20"/>
                <w:lang w:val="en-US"/>
              </w:rPr>
              <w:t xml:space="preserve"> in </w:t>
            </w:r>
            <w:r w:rsidR="00BD08B3" w:rsidRPr="44C62228">
              <w:rPr>
                <w:rFonts w:ascii="Tahoma" w:hAnsi="Tahoma" w:cs="Tahoma"/>
                <w:sz w:val="20"/>
                <w:szCs w:val="20"/>
                <w:lang w:val="en-US"/>
              </w:rPr>
              <w:t>projects</w:t>
            </w:r>
            <w:r w:rsidR="006428F7" w:rsidRPr="44C62228">
              <w:rPr>
                <w:rFonts w:ascii="Tahoma" w:hAnsi="Tahoma" w:cs="Tahoma"/>
                <w:sz w:val="20"/>
                <w:szCs w:val="20"/>
                <w:lang w:val="en-US"/>
              </w:rPr>
              <w:t xml:space="preserve"> during their studies and </w:t>
            </w:r>
            <w:r w:rsidR="007D2869">
              <w:rPr>
                <w:rFonts w:ascii="Tahoma" w:hAnsi="Tahoma" w:cs="Tahoma"/>
                <w:sz w:val="20"/>
                <w:szCs w:val="20"/>
                <w:lang w:val="en-US"/>
              </w:rPr>
              <w:t>later in working life</w:t>
            </w:r>
            <w:r w:rsidR="006428F7" w:rsidRPr="44C62228">
              <w:rPr>
                <w:rFonts w:ascii="Tahoma" w:hAnsi="Tahoma" w:cs="Tahoma"/>
                <w:sz w:val="20"/>
                <w:szCs w:val="20"/>
                <w:lang w:val="en-US"/>
              </w:rPr>
              <w:t>.</w:t>
            </w:r>
          </w:p>
        </w:tc>
      </w:tr>
      <w:tr w:rsidR="00B153D5" w:rsidRPr="00614285" w14:paraId="0B560193" w14:textId="77777777" w:rsidTr="44C62228">
        <w:tc>
          <w:tcPr>
            <w:tcW w:w="2093" w:type="dxa"/>
          </w:tcPr>
          <w:p w14:paraId="1C2B64BF" w14:textId="6B0BD74A" w:rsidR="00B153D5" w:rsidRPr="00C26896" w:rsidRDefault="008E064E" w:rsidP="007D4A96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Internship</w:t>
            </w:r>
          </w:p>
        </w:tc>
        <w:tc>
          <w:tcPr>
            <w:tcW w:w="1134" w:type="dxa"/>
          </w:tcPr>
          <w:p w14:paraId="47C4B2ED" w14:textId="6BAF2328" w:rsidR="00B153D5" w:rsidRPr="00C26896" w:rsidRDefault="00B153D5" w:rsidP="007D4A96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C26896">
              <w:rPr>
                <w:rFonts w:ascii="Tahoma" w:hAnsi="Tahoma" w:cs="Tahoma"/>
                <w:sz w:val="20"/>
                <w:szCs w:val="20"/>
              </w:rPr>
              <w:t xml:space="preserve">30 </w:t>
            </w:r>
            <w:r w:rsidR="008E064E">
              <w:rPr>
                <w:rFonts w:ascii="Tahoma" w:hAnsi="Tahoma" w:cs="Tahoma"/>
                <w:sz w:val="20"/>
                <w:szCs w:val="20"/>
              </w:rPr>
              <w:t>ECTS</w:t>
            </w:r>
          </w:p>
          <w:p w14:paraId="60111785" w14:textId="77777777" w:rsidR="00B153D5" w:rsidRPr="00C26896" w:rsidRDefault="00B153D5" w:rsidP="007D4A9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551" w:type="dxa"/>
            <w:tcBorders>
              <w:top w:val="single" w:sz="4" w:space="0" w:color="000000" w:themeColor="text1"/>
            </w:tcBorders>
          </w:tcPr>
          <w:p w14:paraId="0AC038F7" w14:textId="7A45687B" w:rsidR="00B153D5" w:rsidRPr="004B5B7B" w:rsidRDefault="00E02A0F" w:rsidP="007D4A96">
            <w:pPr>
              <w:autoSpaceDE w:val="0"/>
              <w:autoSpaceDN w:val="0"/>
              <w:spacing w:before="240"/>
              <w:rPr>
                <w:rFonts w:ascii="Tahoma" w:hAnsi="Tahoma" w:cs="Tahoma"/>
                <w:iCs/>
                <w:sz w:val="20"/>
                <w:szCs w:val="20"/>
                <w:lang w:val="en-US"/>
              </w:rPr>
            </w:pPr>
            <w:r w:rsidRPr="00E02A0F">
              <w:rPr>
                <w:rFonts w:ascii="Tahoma" w:hAnsi="Tahoma" w:cs="Tahoma"/>
                <w:iCs/>
                <w:sz w:val="20"/>
                <w:szCs w:val="20"/>
                <w:lang w:val="en-US"/>
              </w:rPr>
              <w:t xml:space="preserve">The aim of the internship is to introduce the student to the practical work assignments and to the choice and use of different working methods, as well as to </w:t>
            </w:r>
            <w:r>
              <w:rPr>
                <w:rFonts w:ascii="Tahoma" w:hAnsi="Tahoma" w:cs="Tahoma"/>
                <w:iCs/>
                <w:sz w:val="20"/>
                <w:szCs w:val="20"/>
                <w:lang w:val="en-US"/>
              </w:rPr>
              <w:t>the application of knowledge and skills in the situations of the working life</w:t>
            </w:r>
            <w:r w:rsidR="00F45E84">
              <w:rPr>
                <w:rFonts w:ascii="Tahoma" w:hAnsi="Tahoma" w:cs="Tahoma"/>
                <w:iCs/>
                <w:sz w:val="20"/>
                <w:szCs w:val="20"/>
                <w:lang w:val="en-US"/>
              </w:rPr>
              <w:t xml:space="preserve">. </w:t>
            </w:r>
            <w:r w:rsidR="00F45E84" w:rsidRPr="00895A44">
              <w:rPr>
                <w:rFonts w:ascii="Tahoma" w:hAnsi="Tahoma" w:cs="Tahoma"/>
                <w:iCs/>
                <w:sz w:val="20"/>
                <w:szCs w:val="20"/>
                <w:lang w:val="en-US"/>
              </w:rPr>
              <w:t>The student learns to improve the quality of his/her tasks and to create new problem solving methods</w:t>
            </w:r>
            <w:r w:rsidR="00312D8B" w:rsidRPr="00895A44">
              <w:rPr>
                <w:rFonts w:ascii="Tahoma" w:hAnsi="Tahoma" w:cs="Tahoma"/>
                <w:iCs/>
                <w:sz w:val="20"/>
                <w:szCs w:val="20"/>
                <w:lang w:val="en-US"/>
              </w:rPr>
              <w:t xml:space="preserve"> in a customer-oriented way.</w:t>
            </w:r>
            <w:r w:rsidR="00895A44" w:rsidRPr="00895A44">
              <w:rPr>
                <w:rFonts w:ascii="Tahoma" w:hAnsi="Tahoma" w:cs="Tahoma"/>
                <w:iCs/>
                <w:sz w:val="20"/>
                <w:szCs w:val="20"/>
                <w:lang w:val="en-US"/>
              </w:rPr>
              <w:t xml:space="preserve"> The internship prepares the student for the working life as it dee</w:t>
            </w:r>
            <w:r w:rsidR="00C9684A">
              <w:rPr>
                <w:rFonts w:ascii="Tahoma" w:hAnsi="Tahoma" w:cs="Tahoma"/>
                <w:iCs/>
                <w:sz w:val="20"/>
                <w:szCs w:val="20"/>
                <w:lang w:val="en-US"/>
              </w:rPr>
              <w:t>p</w:t>
            </w:r>
            <w:r w:rsidR="00895A44" w:rsidRPr="00895A44">
              <w:rPr>
                <w:rFonts w:ascii="Tahoma" w:hAnsi="Tahoma" w:cs="Tahoma"/>
                <w:iCs/>
                <w:sz w:val="20"/>
                <w:szCs w:val="20"/>
                <w:lang w:val="en-US"/>
              </w:rPr>
              <w:t>ens his/her professional competence, skills and knowledge and enhances his</w:t>
            </w:r>
            <w:r w:rsidR="00895A44">
              <w:rPr>
                <w:rFonts w:ascii="Tahoma" w:hAnsi="Tahoma" w:cs="Tahoma"/>
                <w:iCs/>
                <w:sz w:val="20"/>
                <w:szCs w:val="20"/>
                <w:lang w:val="en-US"/>
              </w:rPr>
              <w:t>/her employment opportunities.</w:t>
            </w:r>
          </w:p>
        </w:tc>
      </w:tr>
      <w:tr w:rsidR="00B153D5" w:rsidRPr="00614285" w14:paraId="1B31C232" w14:textId="77777777" w:rsidTr="44C62228">
        <w:tc>
          <w:tcPr>
            <w:tcW w:w="2093" w:type="dxa"/>
          </w:tcPr>
          <w:p w14:paraId="7D870D76" w14:textId="16E1F52E" w:rsidR="00B153D5" w:rsidRPr="00C26896" w:rsidRDefault="008E064E" w:rsidP="007D4A96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Thesis</w:t>
            </w:r>
          </w:p>
          <w:p w14:paraId="411C5663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72AEACE" w14:textId="49AE2B82" w:rsidR="00B153D5" w:rsidRPr="00C26896" w:rsidRDefault="00B153D5" w:rsidP="007D4A96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C26896">
              <w:rPr>
                <w:rFonts w:ascii="Tahoma" w:hAnsi="Tahoma" w:cs="Tahoma"/>
                <w:sz w:val="20"/>
                <w:szCs w:val="20"/>
              </w:rPr>
              <w:t xml:space="preserve">15 </w:t>
            </w:r>
            <w:r w:rsidR="008E064E">
              <w:rPr>
                <w:rFonts w:ascii="Tahoma" w:hAnsi="Tahoma" w:cs="Tahoma"/>
                <w:sz w:val="20"/>
                <w:szCs w:val="20"/>
              </w:rPr>
              <w:t>ECTS</w:t>
            </w:r>
          </w:p>
        </w:tc>
        <w:tc>
          <w:tcPr>
            <w:tcW w:w="6551" w:type="dxa"/>
          </w:tcPr>
          <w:p w14:paraId="0301C9A3" w14:textId="73F3DAB7" w:rsidR="00997409" w:rsidRDefault="00176D76" w:rsidP="004B5B7B">
            <w:pPr>
              <w:spacing w:before="24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176D76">
              <w:rPr>
                <w:rFonts w:ascii="Tahoma" w:hAnsi="Tahoma" w:cs="Tahoma"/>
                <w:sz w:val="20"/>
                <w:szCs w:val="20"/>
                <w:lang w:val="en-US"/>
              </w:rPr>
              <w:t xml:space="preserve">The thesis is a working life oriented learning process for the student as it is supervised, guided and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evaluated by professionals. </w:t>
            </w:r>
            <w:r w:rsidRPr="00176D76">
              <w:rPr>
                <w:rFonts w:ascii="Tahoma" w:hAnsi="Tahoma" w:cs="Tahoma"/>
                <w:sz w:val="20"/>
                <w:szCs w:val="20"/>
                <w:lang w:val="en-US"/>
              </w:rPr>
              <w:t xml:space="preserve">The aim of the thesis is to improve the viability of the client and the same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time to deepen the professional skills and knowledge of the student in the chosen subject. </w:t>
            </w:r>
            <w:r w:rsidRPr="00176D76">
              <w:rPr>
                <w:rFonts w:ascii="Tahoma" w:hAnsi="Tahoma" w:cs="Tahoma"/>
                <w:sz w:val="20"/>
                <w:szCs w:val="20"/>
                <w:lang w:val="en-US"/>
              </w:rPr>
              <w:t xml:space="preserve">A thesis can be practical or research-based or it can involve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a subjective expression of a creative assignment. </w:t>
            </w:r>
            <w:r w:rsidRPr="00997409">
              <w:rPr>
                <w:rFonts w:ascii="Tahoma" w:hAnsi="Tahoma" w:cs="Tahoma"/>
                <w:sz w:val="20"/>
                <w:szCs w:val="20"/>
                <w:lang w:val="en-US"/>
              </w:rPr>
              <w:t xml:space="preserve">In the thesis process the student is </w:t>
            </w:r>
            <w:r w:rsidR="00AF325A">
              <w:rPr>
                <w:rFonts w:ascii="Tahoma" w:hAnsi="Tahoma" w:cs="Tahoma"/>
                <w:sz w:val="20"/>
                <w:szCs w:val="20"/>
                <w:lang w:val="en-US"/>
              </w:rPr>
              <w:t>responsible</w:t>
            </w:r>
          </w:p>
          <w:p w14:paraId="4FCBCE24" w14:textId="1CB19361" w:rsidR="00B153D5" w:rsidRPr="00997409" w:rsidRDefault="00AF325A" w:rsidP="00AF325A">
            <w:pPr>
              <w:pStyle w:val="Luettelokappale"/>
              <w:numPr>
                <w:ilvl w:val="0"/>
                <w:numId w:val="2"/>
              </w:numPr>
              <w:spacing w:before="240" w:after="240"/>
              <w:ind w:left="317" w:hanging="283"/>
              <w:rPr>
                <w:rFonts w:ascii="Tahoma" w:eastAsia="Times New Roman" w:hAnsi="Tahoma" w:cs="Tahoma"/>
                <w:sz w:val="20"/>
                <w:szCs w:val="24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4"/>
                <w:lang w:val="en-US"/>
              </w:rPr>
              <w:t>for</w:t>
            </w:r>
            <w:r w:rsidR="00176D76" w:rsidRPr="00997409">
              <w:rPr>
                <w:rFonts w:ascii="Tahoma" w:eastAsia="Times New Roman" w:hAnsi="Tahoma" w:cs="Tahoma"/>
                <w:sz w:val="20"/>
                <w:szCs w:val="24"/>
                <w:lang w:val="en-US"/>
              </w:rPr>
              <w:t xml:space="preserve"> finding a thesis topic, integrated with working life</w:t>
            </w:r>
          </w:p>
          <w:p w14:paraId="58B00841" w14:textId="57EF2EB5" w:rsidR="00B153D5" w:rsidRPr="00176D76" w:rsidRDefault="00176D76" w:rsidP="007D4A96">
            <w:pPr>
              <w:pStyle w:val="Luettelokappale"/>
              <w:numPr>
                <w:ilvl w:val="0"/>
                <w:numId w:val="2"/>
              </w:numPr>
              <w:spacing w:before="240" w:after="240"/>
              <w:ind w:left="317" w:hanging="283"/>
              <w:rPr>
                <w:rFonts w:ascii="Tahoma" w:eastAsia="Times New Roman" w:hAnsi="Tahoma" w:cs="Tahoma"/>
                <w:sz w:val="20"/>
                <w:szCs w:val="24"/>
                <w:lang w:val="en-US"/>
              </w:rPr>
            </w:pPr>
            <w:r w:rsidRPr="00176D76">
              <w:rPr>
                <w:rFonts w:ascii="Tahoma" w:eastAsia="Times New Roman" w:hAnsi="Tahoma" w:cs="Tahoma"/>
                <w:sz w:val="20"/>
                <w:szCs w:val="24"/>
                <w:lang w:val="en-US"/>
              </w:rPr>
              <w:lastRenderedPageBreak/>
              <w:t>increasing his/her knowledge of the subject field and creating the fr</w:t>
            </w:r>
            <w:r>
              <w:rPr>
                <w:rFonts w:ascii="Tahoma" w:eastAsia="Times New Roman" w:hAnsi="Tahoma" w:cs="Tahoma"/>
                <w:sz w:val="20"/>
                <w:szCs w:val="24"/>
                <w:lang w:val="en-US"/>
              </w:rPr>
              <w:t>amework for the assignment</w:t>
            </w:r>
          </w:p>
          <w:p w14:paraId="743982E5" w14:textId="54EB1056" w:rsidR="00B153D5" w:rsidRPr="00176D76" w:rsidRDefault="00176D76" w:rsidP="007D4A96">
            <w:pPr>
              <w:pStyle w:val="Luettelokappale"/>
              <w:numPr>
                <w:ilvl w:val="0"/>
                <w:numId w:val="2"/>
              </w:numPr>
              <w:spacing w:before="240" w:after="240"/>
              <w:ind w:left="317" w:hanging="283"/>
              <w:rPr>
                <w:rFonts w:ascii="Tahoma" w:eastAsia="Times New Roman" w:hAnsi="Tahoma" w:cs="Tahoma"/>
                <w:sz w:val="20"/>
                <w:szCs w:val="24"/>
                <w:lang w:val="en-US"/>
              </w:rPr>
            </w:pPr>
            <w:r w:rsidRPr="00176D76">
              <w:rPr>
                <w:rFonts w:ascii="Tahoma" w:eastAsia="Times New Roman" w:hAnsi="Tahoma" w:cs="Tahoma"/>
                <w:sz w:val="20"/>
                <w:szCs w:val="24"/>
                <w:lang w:val="en-US"/>
              </w:rPr>
              <w:t xml:space="preserve">carrying out the assignment and reporting on the process and </w:t>
            </w:r>
            <w:r>
              <w:rPr>
                <w:rFonts w:ascii="Tahoma" w:eastAsia="Times New Roman" w:hAnsi="Tahoma" w:cs="Tahoma"/>
                <w:sz w:val="20"/>
                <w:szCs w:val="24"/>
                <w:lang w:val="en-US"/>
              </w:rPr>
              <w:t>outcomes</w:t>
            </w:r>
          </w:p>
          <w:p w14:paraId="5D5F90DD" w14:textId="71FE1D94" w:rsidR="00B153D5" w:rsidRPr="00F54E4B" w:rsidRDefault="00176D76" w:rsidP="007D4A96">
            <w:pPr>
              <w:pStyle w:val="Luettelokappale"/>
              <w:numPr>
                <w:ilvl w:val="0"/>
                <w:numId w:val="2"/>
              </w:numPr>
              <w:spacing w:before="240" w:after="240"/>
              <w:ind w:left="317" w:hanging="283"/>
              <w:rPr>
                <w:rFonts w:ascii="Tahoma" w:eastAsia="Times New Roman" w:hAnsi="Tahoma" w:cs="Tahoma"/>
                <w:sz w:val="20"/>
                <w:szCs w:val="24"/>
                <w:lang w:val="en-US"/>
              </w:rPr>
            </w:pPr>
            <w:r w:rsidRPr="00F54E4B">
              <w:rPr>
                <w:rFonts w:ascii="Tahoma" w:eastAsia="Times New Roman" w:hAnsi="Tahoma" w:cs="Tahoma"/>
                <w:sz w:val="20"/>
                <w:szCs w:val="24"/>
                <w:lang w:val="en-US"/>
              </w:rPr>
              <w:t>finalizing the thesis and drafting information mat</w:t>
            </w:r>
            <w:r w:rsidR="00736CE0">
              <w:rPr>
                <w:rFonts w:ascii="Tahoma" w:eastAsia="Times New Roman" w:hAnsi="Tahoma" w:cs="Tahoma"/>
                <w:sz w:val="20"/>
                <w:szCs w:val="24"/>
                <w:lang w:val="en-US"/>
              </w:rPr>
              <w:t>erials</w:t>
            </w:r>
          </w:p>
          <w:p w14:paraId="364549EC" w14:textId="77994D29" w:rsidR="00B153D5" w:rsidRPr="00736CE0" w:rsidRDefault="005F08EA" w:rsidP="007D4A96">
            <w:pPr>
              <w:rPr>
                <w:rFonts w:ascii="Tahoma" w:hAnsi="Tahoma" w:cs="Tahoma"/>
                <w:color w:val="4BACC6"/>
                <w:sz w:val="20"/>
                <w:szCs w:val="20"/>
                <w:lang w:val="en-US"/>
              </w:rPr>
            </w:pPr>
            <w:r w:rsidRPr="00736CE0">
              <w:rPr>
                <w:rFonts w:ascii="Tahoma" w:hAnsi="Tahoma" w:cs="Tahoma"/>
                <w:sz w:val="20"/>
                <w:szCs w:val="20"/>
                <w:lang w:val="en-US"/>
              </w:rPr>
              <w:t>The thesis offers a flexible way of entering the working life and a good opportunity for networking</w:t>
            </w:r>
            <w:r w:rsidR="008E4B2B">
              <w:rPr>
                <w:rFonts w:ascii="Tahoma" w:hAnsi="Tahoma" w:cs="Tahoma"/>
                <w:sz w:val="20"/>
                <w:szCs w:val="20"/>
                <w:lang w:val="en-US"/>
              </w:rPr>
              <w:t>.</w:t>
            </w:r>
          </w:p>
        </w:tc>
      </w:tr>
      <w:tr w:rsidR="00B153D5" w:rsidRPr="00614285" w14:paraId="45C31714" w14:textId="77777777" w:rsidTr="44C62228">
        <w:tc>
          <w:tcPr>
            <w:tcW w:w="2093" w:type="dxa"/>
          </w:tcPr>
          <w:p w14:paraId="5EF3BB60" w14:textId="2C448DA2" w:rsidR="00B153D5" w:rsidRPr="00C26896" w:rsidRDefault="009933C0" w:rsidP="007D4A96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lastRenderedPageBreak/>
              <w:t>Elective studies</w:t>
            </w:r>
          </w:p>
          <w:p w14:paraId="47682917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FD41AF" w14:textId="4D2FFF7E" w:rsidR="00B153D5" w:rsidRPr="00C26896" w:rsidRDefault="00B153D5" w:rsidP="00436209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DD49304">
              <w:rPr>
                <w:rFonts w:ascii="Tahoma" w:hAnsi="Tahoma" w:cs="Tahoma"/>
                <w:sz w:val="20"/>
                <w:szCs w:val="20"/>
              </w:rPr>
              <w:t>1</w:t>
            </w:r>
            <w:r w:rsidR="008E4B2B">
              <w:rPr>
                <w:rFonts w:ascii="Tahoma" w:hAnsi="Tahoma" w:cs="Tahoma"/>
                <w:sz w:val="20"/>
                <w:szCs w:val="20"/>
              </w:rPr>
              <w:t>5</w:t>
            </w:r>
            <w:r w:rsidRPr="0DD4930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933C0">
              <w:rPr>
                <w:rFonts w:ascii="Tahoma" w:hAnsi="Tahoma" w:cs="Tahoma"/>
                <w:sz w:val="20"/>
                <w:szCs w:val="20"/>
              </w:rPr>
              <w:t>ECTS</w:t>
            </w:r>
          </w:p>
        </w:tc>
        <w:tc>
          <w:tcPr>
            <w:tcW w:w="6551" w:type="dxa"/>
          </w:tcPr>
          <w:p w14:paraId="6BCD8062" w14:textId="6216A8A3" w:rsidR="00B153D5" w:rsidRPr="00D42F31" w:rsidRDefault="008A3CB4" w:rsidP="007D4A96">
            <w:pPr>
              <w:autoSpaceDE w:val="0"/>
              <w:autoSpaceDN w:val="0"/>
              <w:spacing w:before="24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44C62228">
              <w:rPr>
                <w:rFonts w:ascii="Tahoma" w:hAnsi="Tahoma" w:cs="Tahoma"/>
                <w:sz w:val="20"/>
                <w:szCs w:val="20"/>
                <w:lang w:val="en-US"/>
              </w:rPr>
              <w:t>Elective studies support the development of the student’s professional skills and experti</w:t>
            </w:r>
            <w:r w:rsidR="001F0F92" w:rsidRPr="44C62228">
              <w:rPr>
                <w:rFonts w:ascii="Tahoma" w:hAnsi="Tahoma" w:cs="Tahoma"/>
                <w:sz w:val="20"/>
                <w:szCs w:val="20"/>
                <w:lang w:val="en-US"/>
              </w:rPr>
              <w:t>s</w:t>
            </w:r>
            <w:r w:rsidRPr="44C62228">
              <w:rPr>
                <w:rFonts w:ascii="Tahoma" w:hAnsi="Tahoma" w:cs="Tahoma"/>
                <w:sz w:val="20"/>
                <w:szCs w:val="20"/>
                <w:lang w:val="en-US"/>
              </w:rPr>
              <w:t>e and are chosen according to his/her interests in the focus areas of the degree programme.</w:t>
            </w:r>
            <w:r w:rsidR="00B07A4D" w:rsidRPr="44C62228">
              <w:rPr>
                <w:rFonts w:ascii="Tahoma" w:hAnsi="Tahoma" w:cs="Tahoma"/>
                <w:sz w:val="20"/>
                <w:szCs w:val="20"/>
                <w:lang w:val="en-US"/>
              </w:rPr>
              <w:t xml:space="preserve"> The student can also choose to take courses that are arranged by other faculties of Savonia</w:t>
            </w:r>
            <w:r w:rsidR="00052557" w:rsidRPr="44C62228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="000E5298" w:rsidRPr="44C62228">
              <w:rPr>
                <w:rFonts w:ascii="Tahoma" w:hAnsi="Tahoma" w:cs="Tahoma"/>
                <w:sz w:val="20"/>
                <w:szCs w:val="20"/>
                <w:lang w:val="en-US"/>
              </w:rPr>
              <w:t>and other degree programs or include studies of the same level completed elsewhere in their degree</w:t>
            </w:r>
            <w:r w:rsidR="00A019B2">
              <w:rPr>
                <w:rFonts w:ascii="Tahoma" w:hAnsi="Tahoma" w:cs="Tahoma"/>
                <w:sz w:val="20"/>
                <w:szCs w:val="20"/>
                <w:lang w:val="en-US"/>
              </w:rPr>
              <w:t>.</w:t>
            </w:r>
          </w:p>
        </w:tc>
      </w:tr>
      <w:tr w:rsidR="00B153D5" w:rsidRPr="00C26896" w14:paraId="36D8C65C" w14:textId="77777777" w:rsidTr="44C62228">
        <w:tc>
          <w:tcPr>
            <w:tcW w:w="2093" w:type="dxa"/>
          </w:tcPr>
          <w:p w14:paraId="68594530" w14:textId="24B3A823" w:rsidR="00B153D5" w:rsidRPr="00C26896" w:rsidRDefault="009933C0" w:rsidP="007D4A96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Total</w:t>
            </w:r>
          </w:p>
        </w:tc>
        <w:tc>
          <w:tcPr>
            <w:tcW w:w="1134" w:type="dxa"/>
          </w:tcPr>
          <w:p w14:paraId="43C023FF" w14:textId="526EA9E1" w:rsidR="00B153D5" w:rsidRPr="00C26896" w:rsidRDefault="00B153D5" w:rsidP="007D4A96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C26896">
              <w:rPr>
                <w:rFonts w:ascii="Tahoma" w:hAnsi="Tahoma" w:cs="Tahoma"/>
                <w:sz w:val="20"/>
                <w:szCs w:val="20"/>
              </w:rPr>
              <w:t xml:space="preserve">240 </w:t>
            </w:r>
            <w:r w:rsidR="009933C0">
              <w:rPr>
                <w:rFonts w:ascii="Tahoma" w:hAnsi="Tahoma" w:cs="Tahoma"/>
                <w:sz w:val="20"/>
                <w:szCs w:val="20"/>
              </w:rPr>
              <w:t>ECTS</w:t>
            </w:r>
          </w:p>
        </w:tc>
        <w:tc>
          <w:tcPr>
            <w:tcW w:w="6551" w:type="dxa"/>
          </w:tcPr>
          <w:p w14:paraId="3D31B425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53E85DF" w14:textId="77777777" w:rsidR="005B457C" w:rsidRDefault="005B457C"/>
    <w:sectPr w:rsidR="005B45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396A68"/>
    <w:multiLevelType w:val="hybridMultilevel"/>
    <w:tmpl w:val="7EC48174"/>
    <w:lvl w:ilvl="0" w:tplc="BEEA8A42">
      <w:start w:val="1"/>
      <w:numFmt w:val="bullet"/>
      <w:pStyle w:val="Luettelokappale"/>
      <w:lvlText w:val="»"/>
      <w:lvlJc w:val="left"/>
      <w:pPr>
        <w:ind w:left="2988" w:hanging="360"/>
      </w:pPr>
      <w:rPr>
        <w:rFonts w:ascii="Georgia" w:hAnsi="Georgia" w:hint="default"/>
      </w:rPr>
    </w:lvl>
    <w:lvl w:ilvl="1" w:tplc="040B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" w15:restartNumberingAfterBreak="0">
    <w:nsid w:val="7E640E8B"/>
    <w:multiLevelType w:val="hybridMultilevel"/>
    <w:tmpl w:val="D3CCDE6C"/>
    <w:lvl w:ilvl="0" w:tplc="040B0001">
      <w:start w:val="1"/>
      <w:numFmt w:val="bullet"/>
      <w:lvlText w:val=""/>
      <w:lvlJc w:val="left"/>
      <w:pPr>
        <w:tabs>
          <w:tab w:val="num" w:pos="394"/>
        </w:tabs>
        <w:ind w:left="39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activeWritingStyle w:appName="MSWord" w:lang="fi-FI" w:vendorID="64" w:dllVersion="0" w:nlCheck="1" w:checkStyle="0"/>
  <w:activeWritingStyle w:appName="MSWord" w:lang="en-US" w:vendorID="64" w:dllVersion="0" w:nlCheck="1" w:checkStyle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3D5"/>
    <w:rsid w:val="00052557"/>
    <w:rsid w:val="000C3964"/>
    <w:rsid w:val="000E5298"/>
    <w:rsid w:val="000F714F"/>
    <w:rsid w:val="001120B1"/>
    <w:rsid w:val="00113505"/>
    <w:rsid w:val="00134163"/>
    <w:rsid w:val="00176D76"/>
    <w:rsid w:val="001B763E"/>
    <w:rsid w:val="001E7EAA"/>
    <w:rsid w:val="001F0F92"/>
    <w:rsid w:val="001F730C"/>
    <w:rsid w:val="002E06B1"/>
    <w:rsid w:val="00312D8B"/>
    <w:rsid w:val="00367467"/>
    <w:rsid w:val="00367BDE"/>
    <w:rsid w:val="003A1EA5"/>
    <w:rsid w:val="00404D78"/>
    <w:rsid w:val="00436209"/>
    <w:rsid w:val="00475900"/>
    <w:rsid w:val="004B5B7B"/>
    <w:rsid w:val="004E1183"/>
    <w:rsid w:val="004F6291"/>
    <w:rsid w:val="00501603"/>
    <w:rsid w:val="005703B7"/>
    <w:rsid w:val="005B457C"/>
    <w:rsid w:val="005C6A16"/>
    <w:rsid w:val="005F08EA"/>
    <w:rsid w:val="00614285"/>
    <w:rsid w:val="006428F7"/>
    <w:rsid w:val="00642DF1"/>
    <w:rsid w:val="006943B1"/>
    <w:rsid w:val="00736CE0"/>
    <w:rsid w:val="0078202E"/>
    <w:rsid w:val="00795BFA"/>
    <w:rsid w:val="007D2869"/>
    <w:rsid w:val="00895A44"/>
    <w:rsid w:val="008A3CB4"/>
    <w:rsid w:val="008B0DAE"/>
    <w:rsid w:val="008D2D38"/>
    <w:rsid w:val="008E064E"/>
    <w:rsid w:val="008E4B2B"/>
    <w:rsid w:val="00944618"/>
    <w:rsid w:val="00956E88"/>
    <w:rsid w:val="009933C0"/>
    <w:rsid w:val="00997409"/>
    <w:rsid w:val="00A019B2"/>
    <w:rsid w:val="00A33DFF"/>
    <w:rsid w:val="00AD3FC5"/>
    <w:rsid w:val="00AE388B"/>
    <w:rsid w:val="00AF325A"/>
    <w:rsid w:val="00B07A4D"/>
    <w:rsid w:val="00B118E7"/>
    <w:rsid w:val="00B153D5"/>
    <w:rsid w:val="00B77662"/>
    <w:rsid w:val="00B82CB3"/>
    <w:rsid w:val="00BD08B3"/>
    <w:rsid w:val="00C221C3"/>
    <w:rsid w:val="00C9684A"/>
    <w:rsid w:val="00D42F31"/>
    <w:rsid w:val="00D744D6"/>
    <w:rsid w:val="00DA1339"/>
    <w:rsid w:val="00DB7F23"/>
    <w:rsid w:val="00DD1FBA"/>
    <w:rsid w:val="00E02A0F"/>
    <w:rsid w:val="00E70586"/>
    <w:rsid w:val="00E714ED"/>
    <w:rsid w:val="00E74E8C"/>
    <w:rsid w:val="00F17032"/>
    <w:rsid w:val="00F25988"/>
    <w:rsid w:val="00F45E84"/>
    <w:rsid w:val="00F54E4B"/>
    <w:rsid w:val="00F666C6"/>
    <w:rsid w:val="00FA248A"/>
    <w:rsid w:val="00FB4CA5"/>
    <w:rsid w:val="04004C94"/>
    <w:rsid w:val="044B2F07"/>
    <w:rsid w:val="058E4DED"/>
    <w:rsid w:val="0DA9E608"/>
    <w:rsid w:val="1095177D"/>
    <w:rsid w:val="223C97FA"/>
    <w:rsid w:val="24EE7AA7"/>
    <w:rsid w:val="34E9EB35"/>
    <w:rsid w:val="36AE1E0E"/>
    <w:rsid w:val="37DE9FF2"/>
    <w:rsid w:val="44C62228"/>
    <w:rsid w:val="46DDF601"/>
    <w:rsid w:val="528BA5AC"/>
    <w:rsid w:val="55D008E5"/>
    <w:rsid w:val="5B46B285"/>
    <w:rsid w:val="5B6D75E5"/>
    <w:rsid w:val="5C82D667"/>
    <w:rsid w:val="668B0811"/>
    <w:rsid w:val="69B38E60"/>
    <w:rsid w:val="6D811FC9"/>
    <w:rsid w:val="77B4E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4ED6D"/>
  <w15:chartTrackingRefBased/>
  <w15:docId w15:val="{943DB1C0-5F2B-4518-8ED1-F8F833AF7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153D5"/>
    <w:pPr>
      <w:spacing w:after="200" w:line="276" w:lineRule="auto"/>
    </w:pPr>
    <w:rPr>
      <w:rFonts w:ascii="Calibri" w:eastAsia="Calibri" w:hAnsi="Calibri" w:cs="Times New Roman"/>
      <w:lang w:val="fi-FI"/>
    </w:rPr>
  </w:style>
  <w:style w:type="paragraph" w:styleId="Otsikko3">
    <w:name w:val="heading 3"/>
    <w:basedOn w:val="Normaali"/>
    <w:link w:val="Otsikko3Char"/>
    <w:uiPriority w:val="9"/>
    <w:qFormat/>
    <w:rsid w:val="00B153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aliases w:val="Lista"/>
    <w:basedOn w:val="Normaali"/>
    <w:uiPriority w:val="34"/>
    <w:qFormat/>
    <w:rsid w:val="00B153D5"/>
    <w:pPr>
      <w:numPr>
        <w:numId w:val="1"/>
      </w:numPr>
      <w:contextualSpacing/>
    </w:pPr>
  </w:style>
  <w:style w:type="character" w:customStyle="1" w:styleId="Otsikko3Char">
    <w:name w:val="Otsikko 3 Char"/>
    <w:basedOn w:val="Kappaleenoletusfontti"/>
    <w:link w:val="Otsikko3"/>
    <w:uiPriority w:val="9"/>
    <w:rsid w:val="00B153D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aliWWW">
    <w:name w:val="Normal (Web)"/>
    <w:basedOn w:val="Normaali"/>
    <w:uiPriority w:val="99"/>
    <w:semiHidden/>
    <w:unhideWhenUsed/>
    <w:rsid w:val="00B153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01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f38f08-e913-4469-a8b0-b0e9a4f60980" xsi:nil="true"/>
    <lcf76f155ced4ddcb4097134ff3c332f xmlns="876b01ed-89e2-4c6f-aaaa-b4d48754f0e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B121B339E19EF438EB1BAA7B4A4DDB7" ma:contentTypeVersion="13" ma:contentTypeDescription="Luo uusi asiakirja." ma:contentTypeScope="" ma:versionID="42a7a2cc911ceb9925c82b0e2d0d62ac">
  <xsd:schema xmlns:xsd="http://www.w3.org/2001/XMLSchema" xmlns:xs="http://www.w3.org/2001/XMLSchema" xmlns:p="http://schemas.microsoft.com/office/2006/metadata/properties" xmlns:ns2="876b01ed-89e2-4c6f-aaaa-b4d48754f0e5" xmlns:ns3="c4f38f08-e913-4469-a8b0-b0e9a4f60980" targetNamespace="http://schemas.microsoft.com/office/2006/metadata/properties" ma:root="true" ma:fieldsID="60a1af814dc7d33ff39aa7ed4e87f7ad" ns2:_="" ns3:_="">
    <xsd:import namespace="876b01ed-89e2-4c6f-aaaa-b4d48754f0e5"/>
    <xsd:import namespace="c4f38f08-e913-4469-a8b0-b0e9a4f609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b01ed-89e2-4c6f-aaaa-b4d48754f0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27ee12cc-49ea-458b-8a70-8770974bc7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38f08-e913-4469-a8b0-b0e9a4f6098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89b3077-ddd3-49ec-9726-ffefed1c6207}" ma:internalName="TaxCatchAll" ma:showField="CatchAllData" ma:web="c4f38f08-e913-4469-a8b0-b0e9a4f609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6FC2A8-4E36-42E7-80D4-9FFEAB901525}">
  <ds:schemaRefs>
    <ds:schemaRef ds:uri="http://schemas.microsoft.com/office/2006/metadata/properties"/>
    <ds:schemaRef ds:uri="http://schemas.microsoft.com/office/infopath/2007/PartnerControls"/>
    <ds:schemaRef ds:uri="c4f38f08-e913-4469-a8b0-b0e9a4f60980"/>
    <ds:schemaRef ds:uri="876b01ed-89e2-4c6f-aaaa-b4d48754f0e5"/>
  </ds:schemaRefs>
</ds:datastoreItem>
</file>

<file path=customXml/itemProps2.xml><?xml version="1.0" encoding="utf-8"?>
<ds:datastoreItem xmlns:ds="http://schemas.openxmlformats.org/officeDocument/2006/customXml" ds:itemID="{1EB906FD-49A6-408D-81A6-91B347AFC5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1F586E-2A65-4FC5-87C7-B201A7A4F5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6b01ed-89e2-4c6f-aaaa-b4d48754f0e5"/>
    <ds:schemaRef ds:uri="c4f38f08-e913-4469-a8b0-b0e9a4f609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345</Words>
  <Characters>2799</Characters>
  <Application>Microsoft Office Word</Application>
  <DocSecurity>0</DocSecurity>
  <Lines>23</Lines>
  <Paragraphs>6</Paragraphs>
  <ScaleCrop>false</ScaleCrop>
  <Company>SAVONIA-AMK Oy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Marja-Riitta Kivi</dc:creator>
  <cp:keywords/>
  <dc:description/>
  <cp:lastModifiedBy>Marja-Riitta Kivi</cp:lastModifiedBy>
  <cp:revision>74</cp:revision>
  <dcterms:created xsi:type="dcterms:W3CDTF">2022-07-04T05:59:00Z</dcterms:created>
  <dcterms:modified xsi:type="dcterms:W3CDTF">2022-11-22T07:16:00Z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0x0101001B121B339E19EF438EB1BAA7B4A4DDB7</vt:lpwstr>
  </property>
  <property fmtid="{D5CDD505-2E9C-101B-9397-08002B2CF9AE}" pid="3" name="MediaServiceImageTags">
    <vt:lpwstr/>
  </property>
</Properties>
</file>