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BC015" w14:textId="4D5C977F" w:rsidR="00B153D5" w:rsidRPr="005548D2" w:rsidRDefault="00B153D5" w:rsidP="5B46B28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5548D2">
        <w:rPr>
          <w:rFonts w:ascii="Tahoma" w:eastAsia="Times New Roman" w:hAnsi="Tahoma" w:cs="Tahoma"/>
          <w:b/>
          <w:bCs/>
          <w:color w:val="000000" w:themeColor="text1"/>
          <w:sz w:val="24"/>
          <w:szCs w:val="24"/>
        </w:rPr>
        <w:t>Opintojen rakenne</w:t>
      </w:r>
    </w:p>
    <w:p w14:paraId="353E85DF" w14:textId="6B654370" w:rsidR="005B457C" w:rsidRDefault="00B153D5" w:rsidP="59ED5045">
      <w:pPr>
        <w:shd w:val="clear" w:color="auto" w:fill="FFFFFF" w:themeFill="background1"/>
        <w:spacing w:after="240"/>
        <w:rPr>
          <w:rFonts w:ascii="Tahoma" w:eastAsia="Times New Roman" w:hAnsi="Tahoma" w:cs="Tahoma"/>
          <w:color w:val="000000" w:themeColor="text1"/>
          <w:sz w:val="20"/>
          <w:szCs w:val="20"/>
          <w:lang w:val="en-US"/>
        </w:rPr>
      </w:pPr>
      <w:r w:rsidRPr="59ED5045">
        <w:rPr>
          <w:rFonts w:ascii="Tahoma" w:eastAsia="Times New Roman" w:hAnsi="Tahoma" w:cs="Tahoma"/>
          <w:color w:val="000000" w:themeColor="text1"/>
          <w:sz w:val="20"/>
          <w:szCs w:val="20"/>
        </w:rPr>
        <w:t xml:space="preserve">Konetekniikan insinöörin opinnot ovat 240 opintopistettä. Opetussuunnitelman mukaan yksi opiskeluvuosi vastaa 60 opintopistettä, mikä tarkoittaa 1600 tuntia opiskelijan työtä. Opiskelijan työ koostuu mm. lähitunneista, </w:t>
      </w:r>
      <w:proofErr w:type="spellStart"/>
      <w:r w:rsidRPr="59ED5045">
        <w:rPr>
          <w:rFonts w:ascii="Tahoma" w:eastAsia="Times New Roman" w:hAnsi="Tahoma" w:cs="Tahoma"/>
          <w:color w:val="000000" w:themeColor="text1"/>
          <w:sz w:val="20"/>
          <w:szCs w:val="20"/>
        </w:rPr>
        <w:t>etä</w:t>
      </w:r>
      <w:proofErr w:type="spellEnd"/>
      <w:r w:rsidRPr="59ED5045">
        <w:rPr>
          <w:rFonts w:ascii="Tahoma" w:eastAsia="Times New Roman" w:hAnsi="Tahoma" w:cs="Tahoma"/>
          <w:color w:val="000000" w:themeColor="text1"/>
          <w:sz w:val="20"/>
          <w:szCs w:val="20"/>
        </w:rPr>
        <w:t xml:space="preserve">- ja itsenäisestä opiskelusta, verkko-opiskelusta ja harjoittelusta. </w:t>
      </w:r>
      <w:proofErr w:type="spellStart"/>
      <w:r w:rsidRPr="59ED5045">
        <w:rPr>
          <w:rFonts w:ascii="Tahoma" w:eastAsia="Times New Roman" w:hAnsi="Tahoma" w:cs="Tahoma"/>
          <w:color w:val="000000" w:themeColor="text1"/>
          <w:sz w:val="20"/>
          <w:szCs w:val="20"/>
          <w:lang w:val="en-US"/>
        </w:rPr>
        <w:t>Opiskelu</w:t>
      </w:r>
      <w:proofErr w:type="spellEnd"/>
      <w:r w:rsidRPr="59ED5045">
        <w:rPr>
          <w:rFonts w:ascii="Tahoma" w:eastAsia="Times New Roman" w:hAnsi="Tahoma" w:cs="Tahoma"/>
          <w:color w:val="000000" w:themeColor="text1"/>
          <w:sz w:val="20"/>
          <w:szCs w:val="20"/>
          <w:lang w:val="en-US"/>
        </w:rPr>
        <w:t xml:space="preserve"> </w:t>
      </w:r>
      <w:proofErr w:type="spellStart"/>
      <w:r w:rsidRPr="59ED5045">
        <w:rPr>
          <w:rFonts w:ascii="Tahoma" w:eastAsia="Times New Roman" w:hAnsi="Tahoma" w:cs="Tahoma"/>
          <w:color w:val="000000" w:themeColor="text1"/>
          <w:sz w:val="20"/>
          <w:szCs w:val="20"/>
          <w:lang w:val="en-US"/>
        </w:rPr>
        <w:t>sisältää</w:t>
      </w:r>
      <w:proofErr w:type="spellEnd"/>
      <w:r w:rsidRPr="59ED5045">
        <w:rPr>
          <w:rFonts w:ascii="Tahoma" w:eastAsia="Times New Roman" w:hAnsi="Tahoma" w:cs="Tahoma"/>
          <w:color w:val="000000" w:themeColor="text1"/>
          <w:sz w:val="20"/>
          <w:szCs w:val="20"/>
          <w:lang w:val="en-US"/>
        </w:rPr>
        <w:t xml:space="preserve"> </w:t>
      </w:r>
      <w:proofErr w:type="spellStart"/>
      <w:r w:rsidRPr="59ED5045">
        <w:rPr>
          <w:rFonts w:ascii="Tahoma" w:eastAsia="Times New Roman" w:hAnsi="Tahoma" w:cs="Tahoma"/>
          <w:color w:val="000000" w:themeColor="text1"/>
          <w:sz w:val="20"/>
          <w:szCs w:val="20"/>
          <w:lang w:val="en-US"/>
        </w:rPr>
        <w:t>työelämälähtöistä</w:t>
      </w:r>
      <w:proofErr w:type="spellEnd"/>
      <w:r w:rsidRPr="59ED5045">
        <w:rPr>
          <w:rFonts w:ascii="Tahoma" w:eastAsia="Times New Roman" w:hAnsi="Tahoma" w:cs="Tahoma"/>
          <w:color w:val="000000" w:themeColor="text1"/>
          <w:sz w:val="20"/>
          <w:szCs w:val="20"/>
          <w:lang w:val="en-US"/>
        </w:rPr>
        <w:t xml:space="preserve"> </w:t>
      </w:r>
      <w:proofErr w:type="spellStart"/>
      <w:r w:rsidRPr="59ED5045">
        <w:rPr>
          <w:rFonts w:ascii="Tahoma" w:eastAsia="Times New Roman" w:hAnsi="Tahoma" w:cs="Tahoma"/>
          <w:color w:val="000000" w:themeColor="text1"/>
          <w:sz w:val="20"/>
          <w:szCs w:val="20"/>
          <w:lang w:val="en-US"/>
        </w:rPr>
        <w:t>tutkimus</w:t>
      </w:r>
      <w:proofErr w:type="spellEnd"/>
      <w:r w:rsidRPr="59ED5045">
        <w:rPr>
          <w:rFonts w:ascii="Tahoma" w:eastAsia="Times New Roman" w:hAnsi="Tahoma" w:cs="Tahoma"/>
          <w:color w:val="000000" w:themeColor="text1"/>
          <w:sz w:val="20"/>
          <w:szCs w:val="20"/>
          <w:lang w:val="en-US"/>
        </w:rPr>
        <w:t xml:space="preserve">- </w:t>
      </w:r>
      <w:proofErr w:type="gramStart"/>
      <w:r w:rsidRPr="59ED5045">
        <w:rPr>
          <w:rFonts w:ascii="Tahoma" w:eastAsia="Times New Roman" w:hAnsi="Tahoma" w:cs="Tahoma"/>
          <w:color w:val="000000" w:themeColor="text1"/>
          <w:sz w:val="20"/>
          <w:szCs w:val="20"/>
          <w:lang w:val="en-US"/>
        </w:rPr>
        <w:t>ja</w:t>
      </w:r>
      <w:proofErr w:type="gramEnd"/>
      <w:r w:rsidRPr="59ED5045">
        <w:rPr>
          <w:rFonts w:ascii="Tahoma" w:eastAsia="Times New Roman" w:hAnsi="Tahoma" w:cs="Tahoma"/>
          <w:color w:val="000000" w:themeColor="text1"/>
          <w:sz w:val="20"/>
          <w:szCs w:val="20"/>
          <w:lang w:val="en-US"/>
        </w:rPr>
        <w:t xml:space="preserve"> </w:t>
      </w:r>
      <w:proofErr w:type="spellStart"/>
      <w:r w:rsidRPr="59ED5045">
        <w:rPr>
          <w:rFonts w:ascii="Tahoma" w:eastAsia="Times New Roman" w:hAnsi="Tahoma" w:cs="Tahoma"/>
          <w:color w:val="000000" w:themeColor="text1"/>
          <w:sz w:val="20"/>
          <w:szCs w:val="20"/>
          <w:lang w:val="en-US"/>
        </w:rPr>
        <w:t>kehittämistoimintaa</w:t>
      </w:r>
      <w:proofErr w:type="spellEnd"/>
      <w:r w:rsidRPr="59ED5045">
        <w:rPr>
          <w:rFonts w:ascii="Tahoma" w:eastAsia="Times New Roman" w:hAnsi="Tahoma" w:cs="Tahoma"/>
          <w:color w:val="000000" w:themeColor="text1"/>
          <w:sz w:val="20"/>
          <w:szCs w:val="20"/>
          <w:lang w:val="en-US"/>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5548D2" w:rsidRPr="005548D2" w14:paraId="15912BCC" w14:textId="77777777" w:rsidTr="002D4BB2">
        <w:tc>
          <w:tcPr>
            <w:tcW w:w="2093" w:type="dxa"/>
            <w:shd w:val="clear" w:color="auto" w:fill="31A3B5"/>
          </w:tcPr>
          <w:p w14:paraId="11622BA2" w14:textId="77777777" w:rsidR="005548D2" w:rsidRPr="005548D2" w:rsidRDefault="005548D2" w:rsidP="005548D2">
            <w:pPr>
              <w:spacing w:before="240" w:after="240" w:line="260" w:lineRule="exact"/>
              <w:rPr>
                <w:rFonts w:ascii="Tahoma" w:eastAsia="Times New Roman" w:hAnsi="Tahoma" w:cs="Tahoma"/>
                <w:b/>
                <w:color w:val="FFFFFF"/>
                <w:sz w:val="20"/>
                <w:szCs w:val="20"/>
              </w:rPr>
            </w:pPr>
          </w:p>
        </w:tc>
        <w:tc>
          <w:tcPr>
            <w:tcW w:w="1134" w:type="dxa"/>
            <w:shd w:val="clear" w:color="auto" w:fill="31A3B5"/>
          </w:tcPr>
          <w:p w14:paraId="7E30A46A" w14:textId="77777777" w:rsidR="005548D2" w:rsidRPr="005548D2" w:rsidRDefault="005548D2" w:rsidP="005548D2">
            <w:pPr>
              <w:spacing w:before="240" w:after="240" w:line="260" w:lineRule="exact"/>
              <w:rPr>
                <w:rFonts w:ascii="Tahoma" w:eastAsia="Times New Roman" w:hAnsi="Tahoma" w:cs="Tahoma"/>
                <w:b/>
                <w:color w:val="FFFFFF"/>
                <w:sz w:val="20"/>
                <w:szCs w:val="20"/>
              </w:rPr>
            </w:pPr>
            <w:r w:rsidRPr="005548D2">
              <w:rPr>
                <w:rFonts w:ascii="Tahoma" w:eastAsia="Times New Roman" w:hAnsi="Tahoma" w:cs="Tahoma"/>
                <w:b/>
                <w:color w:val="FFFFFF"/>
                <w:sz w:val="20"/>
                <w:szCs w:val="20"/>
              </w:rPr>
              <w:t xml:space="preserve">Laajuus </w:t>
            </w:r>
          </w:p>
        </w:tc>
        <w:tc>
          <w:tcPr>
            <w:tcW w:w="6551" w:type="dxa"/>
            <w:shd w:val="clear" w:color="auto" w:fill="31A3B5"/>
          </w:tcPr>
          <w:p w14:paraId="2B206A0D" w14:textId="77777777" w:rsidR="005548D2" w:rsidRPr="005548D2" w:rsidRDefault="005548D2" w:rsidP="005548D2">
            <w:pPr>
              <w:spacing w:before="240" w:after="240" w:line="260" w:lineRule="exact"/>
              <w:rPr>
                <w:rFonts w:ascii="Tahoma" w:eastAsia="Times New Roman" w:hAnsi="Tahoma" w:cs="Tahoma"/>
                <w:b/>
                <w:color w:val="FFFFFF"/>
                <w:sz w:val="20"/>
                <w:szCs w:val="20"/>
              </w:rPr>
            </w:pPr>
            <w:r w:rsidRPr="005548D2">
              <w:rPr>
                <w:rFonts w:ascii="Tahoma" w:eastAsia="Times New Roman" w:hAnsi="Tahoma" w:cs="Tahoma"/>
                <w:b/>
                <w:color w:val="FFFFFF"/>
                <w:sz w:val="20"/>
                <w:szCs w:val="20"/>
              </w:rPr>
              <w:t>Luonnehdinta opinnoista lyhyesti</w:t>
            </w:r>
          </w:p>
        </w:tc>
      </w:tr>
      <w:tr w:rsidR="005548D2" w:rsidRPr="005548D2" w14:paraId="490DE6EB" w14:textId="77777777" w:rsidTr="002D4BB2">
        <w:tc>
          <w:tcPr>
            <w:tcW w:w="2093" w:type="dxa"/>
          </w:tcPr>
          <w:p w14:paraId="7D49F7FD" w14:textId="77777777" w:rsidR="005548D2" w:rsidRPr="005548D2" w:rsidRDefault="005548D2" w:rsidP="005548D2">
            <w:pPr>
              <w:spacing w:before="240" w:after="240" w:line="260" w:lineRule="exact"/>
              <w:rPr>
                <w:rFonts w:ascii="Tahoma" w:eastAsia="Times New Roman" w:hAnsi="Tahoma" w:cs="Tahoma"/>
                <w:b/>
                <w:sz w:val="20"/>
                <w:szCs w:val="20"/>
              </w:rPr>
            </w:pPr>
            <w:r w:rsidRPr="005548D2">
              <w:rPr>
                <w:rFonts w:ascii="Tahoma" w:eastAsia="Times New Roman" w:hAnsi="Tahoma" w:cs="Tahoma"/>
                <w:b/>
                <w:sz w:val="20"/>
                <w:szCs w:val="20"/>
              </w:rPr>
              <w:t xml:space="preserve">Perusopinnot  </w:t>
            </w:r>
            <w:r w:rsidRPr="005548D2">
              <w:rPr>
                <w:rFonts w:ascii="Tahoma" w:eastAsia="Times New Roman" w:hAnsi="Tahoma" w:cs="Tahoma"/>
                <w:b/>
                <w:sz w:val="20"/>
                <w:szCs w:val="20"/>
              </w:rPr>
              <w:tab/>
            </w:r>
          </w:p>
        </w:tc>
        <w:tc>
          <w:tcPr>
            <w:tcW w:w="1134" w:type="dxa"/>
          </w:tcPr>
          <w:p w14:paraId="19BB9EAC"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100 op</w:t>
            </w:r>
          </w:p>
        </w:tc>
        <w:tc>
          <w:tcPr>
            <w:tcW w:w="6551" w:type="dxa"/>
          </w:tcPr>
          <w:p w14:paraId="4DC2E667"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Perusopinnoissa luodaan laaja-alainen ja kokonaisvaltainen pohja ammattiopintoja varten. Perusopinnoissa keskitytään insinööritieteiden perusteisiin, kieliopintoihin sekä vuorovaikutustaitoihin. Perusopinnot opiskelija suorittaa pääasiassa ensimmäisen ja toisen lukuvuoden aikana.  Opinnoissa on jo alusta alkaen mukana ammatillisia opintojaksoja.</w:t>
            </w:r>
          </w:p>
        </w:tc>
        <w:bookmarkStart w:id="0" w:name="_GoBack"/>
        <w:bookmarkEnd w:id="0"/>
      </w:tr>
      <w:tr w:rsidR="005548D2" w:rsidRPr="005548D2" w14:paraId="3EC99F35" w14:textId="77777777" w:rsidTr="002D4BB2">
        <w:tc>
          <w:tcPr>
            <w:tcW w:w="2093" w:type="dxa"/>
          </w:tcPr>
          <w:p w14:paraId="3560959F" w14:textId="77777777" w:rsidR="005548D2" w:rsidRPr="005548D2" w:rsidRDefault="005548D2" w:rsidP="005548D2">
            <w:pPr>
              <w:spacing w:before="240" w:after="240" w:line="260" w:lineRule="exact"/>
              <w:rPr>
                <w:rFonts w:ascii="Tahoma" w:eastAsia="Times New Roman" w:hAnsi="Tahoma" w:cs="Tahoma"/>
                <w:b/>
                <w:sz w:val="20"/>
                <w:szCs w:val="20"/>
              </w:rPr>
            </w:pPr>
            <w:r w:rsidRPr="005548D2">
              <w:rPr>
                <w:rFonts w:ascii="Tahoma" w:eastAsia="Times New Roman" w:hAnsi="Tahoma" w:cs="Tahoma"/>
                <w:b/>
                <w:sz w:val="20"/>
                <w:szCs w:val="20"/>
              </w:rPr>
              <w:t>Ammattiopinnot</w:t>
            </w:r>
          </w:p>
          <w:p w14:paraId="5558BCD7" w14:textId="77777777" w:rsidR="005548D2" w:rsidRPr="005548D2" w:rsidRDefault="005548D2" w:rsidP="005548D2">
            <w:pPr>
              <w:spacing w:before="240" w:after="240" w:line="260" w:lineRule="exact"/>
              <w:rPr>
                <w:rFonts w:ascii="Tahoma" w:eastAsia="Times New Roman" w:hAnsi="Tahoma" w:cs="Tahoma"/>
                <w:b/>
                <w:sz w:val="20"/>
                <w:szCs w:val="20"/>
              </w:rPr>
            </w:pPr>
          </w:p>
        </w:tc>
        <w:tc>
          <w:tcPr>
            <w:tcW w:w="1134" w:type="dxa"/>
          </w:tcPr>
          <w:p w14:paraId="48517A44"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80 op</w:t>
            </w:r>
          </w:p>
          <w:p w14:paraId="78CC6DB3" w14:textId="77777777" w:rsidR="005548D2" w:rsidRPr="005548D2" w:rsidRDefault="005548D2" w:rsidP="005548D2">
            <w:pPr>
              <w:spacing w:before="240" w:after="240" w:line="260" w:lineRule="exact"/>
              <w:rPr>
                <w:rFonts w:ascii="Tahoma" w:eastAsia="Times New Roman" w:hAnsi="Tahoma" w:cs="Tahoma"/>
                <w:sz w:val="20"/>
                <w:szCs w:val="20"/>
              </w:rPr>
            </w:pPr>
          </w:p>
          <w:p w14:paraId="5599548D" w14:textId="77777777" w:rsidR="005548D2" w:rsidRPr="005548D2" w:rsidRDefault="005548D2" w:rsidP="005548D2">
            <w:pPr>
              <w:spacing w:before="240" w:after="240" w:line="260" w:lineRule="exact"/>
              <w:rPr>
                <w:rFonts w:ascii="Tahoma" w:eastAsia="Times New Roman" w:hAnsi="Tahoma" w:cs="Tahoma"/>
                <w:sz w:val="20"/>
                <w:szCs w:val="20"/>
              </w:rPr>
            </w:pPr>
          </w:p>
          <w:p w14:paraId="764D8E0B" w14:textId="77777777" w:rsidR="005548D2" w:rsidRPr="005548D2" w:rsidRDefault="005548D2" w:rsidP="005548D2">
            <w:pPr>
              <w:spacing w:before="240" w:after="240" w:line="260" w:lineRule="exact"/>
              <w:rPr>
                <w:rFonts w:ascii="Tahoma" w:eastAsia="Times New Roman" w:hAnsi="Tahoma" w:cs="Tahoma"/>
                <w:sz w:val="20"/>
                <w:szCs w:val="20"/>
              </w:rPr>
            </w:pPr>
          </w:p>
        </w:tc>
        <w:tc>
          <w:tcPr>
            <w:tcW w:w="6551" w:type="dxa"/>
          </w:tcPr>
          <w:p w14:paraId="184F409F"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Yhteisissä ammattiopinnoissa (45 op) kahden ja osin kolmen ensimmäisen vuoden aikana opitaan perustiedot konetekniikan eri osa-alueista. Alakohtaista osaamista syvennetään suuntaavissa opinnoissa perehtymällä suuntautumisalan erityiskysymyksiin eri ammattiopintojen moduuleissa.</w:t>
            </w:r>
          </w:p>
          <w:p w14:paraId="336EDAB8"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 xml:space="preserve">Tuotantotekniikan suuntaavissa opinnoissa (35 op) perehdytään tuotantotekniikkaan, valmistustekniikkaan, toiminnanohjaukseen ja hitsausautomaatioon. </w:t>
            </w:r>
          </w:p>
        </w:tc>
      </w:tr>
      <w:tr w:rsidR="005548D2" w:rsidRPr="005548D2" w14:paraId="458D2827" w14:textId="77777777" w:rsidTr="002D4BB2">
        <w:tc>
          <w:tcPr>
            <w:tcW w:w="2093" w:type="dxa"/>
          </w:tcPr>
          <w:p w14:paraId="57ED9057" w14:textId="77777777" w:rsidR="005548D2" w:rsidRPr="005548D2" w:rsidRDefault="005548D2" w:rsidP="005548D2">
            <w:pPr>
              <w:spacing w:before="240" w:after="240" w:line="260" w:lineRule="exact"/>
              <w:rPr>
                <w:rFonts w:ascii="Tahoma" w:eastAsia="Times New Roman" w:hAnsi="Tahoma" w:cs="Tahoma"/>
                <w:b/>
                <w:sz w:val="20"/>
                <w:szCs w:val="20"/>
              </w:rPr>
            </w:pPr>
            <w:r w:rsidRPr="005548D2">
              <w:rPr>
                <w:rFonts w:ascii="Tahoma" w:eastAsia="Times New Roman" w:hAnsi="Tahoma" w:cs="Tahoma"/>
                <w:b/>
                <w:sz w:val="20"/>
                <w:szCs w:val="20"/>
              </w:rPr>
              <w:t>Harjoittelu</w:t>
            </w:r>
          </w:p>
        </w:tc>
        <w:tc>
          <w:tcPr>
            <w:tcW w:w="1134" w:type="dxa"/>
          </w:tcPr>
          <w:p w14:paraId="4FC73C83"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30 op</w:t>
            </w:r>
          </w:p>
        </w:tc>
        <w:tc>
          <w:tcPr>
            <w:tcW w:w="6551" w:type="dxa"/>
          </w:tcPr>
          <w:p w14:paraId="29693E70" w14:textId="77777777" w:rsidR="005548D2" w:rsidRPr="005548D2" w:rsidRDefault="005548D2" w:rsidP="005548D2">
            <w:pPr>
              <w:autoSpaceDE w:val="0"/>
              <w:autoSpaceDN w:val="0"/>
              <w:spacing w:before="240" w:after="240" w:line="260" w:lineRule="exact"/>
              <w:rPr>
                <w:rFonts w:ascii="Tahoma" w:eastAsia="Times New Roman" w:hAnsi="Tahoma" w:cs="Tahoma"/>
                <w:iCs/>
                <w:color w:val="00ACCD"/>
                <w:sz w:val="20"/>
                <w:szCs w:val="20"/>
              </w:rPr>
            </w:pPr>
            <w:r w:rsidRPr="005548D2">
              <w:rPr>
                <w:rFonts w:ascii="Tahoma" w:eastAsia="Times New Roman" w:hAnsi="Tahoma" w:cs="Tahoma"/>
                <w:iCs/>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5548D2" w:rsidRPr="005548D2" w14:paraId="2E28522E" w14:textId="77777777" w:rsidTr="002D4BB2">
        <w:tc>
          <w:tcPr>
            <w:tcW w:w="2093" w:type="dxa"/>
          </w:tcPr>
          <w:p w14:paraId="534A355C" w14:textId="77777777" w:rsidR="005548D2" w:rsidRPr="005548D2" w:rsidRDefault="005548D2" w:rsidP="005548D2">
            <w:pPr>
              <w:spacing w:before="240" w:after="240" w:line="260" w:lineRule="exact"/>
              <w:rPr>
                <w:rFonts w:ascii="Tahoma" w:eastAsia="Times New Roman" w:hAnsi="Tahoma" w:cs="Tahoma"/>
                <w:b/>
                <w:sz w:val="20"/>
                <w:szCs w:val="20"/>
              </w:rPr>
            </w:pPr>
            <w:r w:rsidRPr="005548D2">
              <w:rPr>
                <w:rFonts w:ascii="Tahoma" w:eastAsia="Times New Roman" w:hAnsi="Tahoma" w:cs="Tahoma"/>
                <w:b/>
                <w:sz w:val="20"/>
                <w:szCs w:val="20"/>
              </w:rPr>
              <w:t>Opinnäytetyö</w:t>
            </w:r>
          </w:p>
          <w:p w14:paraId="60EDF86A" w14:textId="77777777" w:rsidR="005548D2" w:rsidRPr="005548D2" w:rsidRDefault="005548D2" w:rsidP="005548D2">
            <w:pPr>
              <w:spacing w:before="240" w:after="240" w:line="260" w:lineRule="exact"/>
              <w:rPr>
                <w:rFonts w:ascii="Tahoma" w:eastAsia="Times New Roman" w:hAnsi="Tahoma" w:cs="Tahoma"/>
                <w:sz w:val="20"/>
                <w:szCs w:val="20"/>
              </w:rPr>
            </w:pPr>
          </w:p>
        </w:tc>
        <w:tc>
          <w:tcPr>
            <w:tcW w:w="1134" w:type="dxa"/>
          </w:tcPr>
          <w:p w14:paraId="245FED3A"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15 op</w:t>
            </w:r>
          </w:p>
        </w:tc>
        <w:tc>
          <w:tcPr>
            <w:tcW w:w="6551" w:type="dxa"/>
          </w:tcPr>
          <w:p w14:paraId="0F1C8112"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53904F74" w14:textId="77777777" w:rsidR="005548D2" w:rsidRPr="005548D2" w:rsidRDefault="005548D2" w:rsidP="005548D2">
            <w:pPr>
              <w:numPr>
                <w:ilvl w:val="0"/>
                <w:numId w:val="3"/>
              </w:numPr>
              <w:spacing w:before="240" w:after="240" w:line="260" w:lineRule="exact"/>
              <w:contextualSpacing/>
              <w:rPr>
                <w:rFonts w:ascii="Tahoma" w:eastAsia="Times New Roman" w:hAnsi="Tahoma" w:cs="Tahoma"/>
                <w:sz w:val="20"/>
                <w:szCs w:val="24"/>
              </w:rPr>
            </w:pPr>
            <w:r w:rsidRPr="005548D2">
              <w:rPr>
                <w:rFonts w:ascii="Tahoma" w:eastAsia="Times New Roman" w:hAnsi="Tahoma" w:cs="Tahoma"/>
                <w:sz w:val="20"/>
                <w:szCs w:val="24"/>
              </w:rPr>
              <w:t>opinnäytetyöidean ja työelämäyhteyden hakemisesta</w:t>
            </w:r>
          </w:p>
          <w:p w14:paraId="6244ECA8" w14:textId="77777777" w:rsidR="005548D2" w:rsidRPr="005548D2" w:rsidRDefault="005548D2" w:rsidP="005548D2">
            <w:pPr>
              <w:numPr>
                <w:ilvl w:val="0"/>
                <w:numId w:val="3"/>
              </w:numPr>
              <w:spacing w:before="240" w:after="240" w:line="260" w:lineRule="exact"/>
              <w:contextualSpacing/>
              <w:rPr>
                <w:rFonts w:ascii="Tahoma" w:eastAsia="Times New Roman" w:hAnsi="Tahoma" w:cs="Tahoma"/>
                <w:sz w:val="20"/>
                <w:szCs w:val="24"/>
              </w:rPr>
            </w:pPr>
            <w:r w:rsidRPr="005548D2">
              <w:rPr>
                <w:rFonts w:ascii="Tahoma" w:eastAsia="Times New Roman" w:hAnsi="Tahoma" w:cs="Tahoma"/>
                <w:sz w:val="20"/>
                <w:szCs w:val="24"/>
              </w:rPr>
              <w:t>opinnäytetyön tehtäväalueeseen perehtymisestä ja tehtävän asettamisesta</w:t>
            </w:r>
          </w:p>
          <w:p w14:paraId="0937C8DE" w14:textId="77777777" w:rsidR="005548D2" w:rsidRPr="005548D2" w:rsidRDefault="005548D2" w:rsidP="005548D2">
            <w:pPr>
              <w:numPr>
                <w:ilvl w:val="0"/>
                <w:numId w:val="3"/>
              </w:numPr>
              <w:spacing w:before="240" w:after="240" w:line="260" w:lineRule="exact"/>
              <w:contextualSpacing/>
              <w:rPr>
                <w:rFonts w:ascii="Tahoma" w:eastAsia="Times New Roman" w:hAnsi="Tahoma" w:cs="Tahoma"/>
                <w:sz w:val="20"/>
                <w:szCs w:val="24"/>
              </w:rPr>
            </w:pPr>
            <w:r w:rsidRPr="005548D2">
              <w:rPr>
                <w:rFonts w:ascii="Tahoma" w:eastAsia="Times New Roman" w:hAnsi="Tahoma" w:cs="Tahoma"/>
                <w:sz w:val="20"/>
                <w:szCs w:val="24"/>
              </w:rPr>
              <w:lastRenderedPageBreak/>
              <w:t>asetetun tehtävän suorittamisesta ja raportoinnista</w:t>
            </w:r>
          </w:p>
          <w:p w14:paraId="3C21AC57" w14:textId="77777777" w:rsidR="005548D2" w:rsidRPr="005548D2" w:rsidRDefault="005548D2" w:rsidP="005548D2">
            <w:pPr>
              <w:numPr>
                <w:ilvl w:val="0"/>
                <w:numId w:val="3"/>
              </w:numPr>
              <w:spacing w:before="240" w:after="240" w:line="260" w:lineRule="exact"/>
              <w:contextualSpacing/>
              <w:rPr>
                <w:rFonts w:ascii="Tahoma" w:eastAsia="Times New Roman" w:hAnsi="Tahoma" w:cs="Tahoma"/>
                <w:sz w:val="20"/>
                <w:szCs w:val="24"/>
              </w:rPr>
            </w:pPr>
            <w:r w:rsidRPr="005548D2">
              <w:rPr>
                <w:rFonts w:ascii="Tahoma" w:eastAsia="Times New Roman" w:hAnsi="Tahoma" w:cs="Tahoma"/>
                <w:sz w:val="20"/>
                <w:szCs w:val="24"/>
              </w:rPr>
              <w:t>opinnäytetyön viimeistelystä ja tiedotusmateriaalin laatimisesta.</w:t>
            </w:r>
          </w:p>
          <w:p w14:paraId="72DD4837" w14:textId="77777777" w:rsidR="005548D2" w:rsidRPr="005548D2" w:rsidRDefault="005548D2" w:rsidP="005548D2">
            <w:pPr>
              <w:spacing w:before="240" w:after="240" w:line="260" w:lineRule="exact"/>
              <w:rPr>
                <w:rFonts w:ascii="Tahoma" w:eastAsia="Times New Roman" w:hAnsi="Tahoma" w:cs="Tahoma"/>
                <w:color w:val="00ACCD"/>
                <w:sz w:val="20"/>
                <w:szCs w:val="20"/>
              </w:rPr>
            </w:pPr>
            <w:r w:rsidRPr="005548D2">
              <w:rPr>
                <w:rFonts w:ascii="Tahoma" w:eastAsia="Times New Roman" w:hAnsi="Tahoma" w:cs="Tahoma"/>
                <w:sz w:val="20"/>
                <w:szCs w:val="20"/>
              </w:rPr>
              <w:t>Opinnäytetyö tarjoaa joustavan portin siirtyä työelämään ja hyvän mahdollisuuden verkottua omalla alalla.</w:t>
            </w:r>
          </w:p>
        </w:tc>
      </w:tr>
      <w:tr w:rsidR="005548D2" w:rsidRPr="005548D2" w14:paraId="24174A80" w14:textId="77777777" w:rsidTr="002D4BB2">
        <w:tc>
          <w:tcPr>
            <w:tcW w:w="2093" w:type="dxa"/>
          </w:tcPr>
          <w:p w14:paraId="5BE56D46" w14:textId="77777777" w:rsidR="005548D2" w:rsidRPr="005548D2" w:rsidRDefault="005548D2" w:rsidP="005548D2">
            <w:pPr>
              <w:spacing w:before="240" w:after="240" w:line="260" w:lineRule="exact"/>
              <w:rPr>
                <w:rFonts w:ascii="Tahoma" w:eastAsia="Times New Roman" w:hAnsi="Tahoma" w:cs="Tahoma"/>
                <w:b/>
                <w:sz w:val="20"/>
                <w:szCs w:val="20"/>
              </w:rPr>
            </w:pPr>
            <w:r w:rsidRPr="005548D2">
              <w:rPr>
                <w:rFonts w:ascii="Tahoma" w:eastAsia="Times New Roman" w:hAnsi="Tahoma" w:cs="Tahoma"/>
                <w:b/>
                <w:sz w:val="20"/>
                <w:szCs w:val="20"/>
              </w:rPr>
              <w:lastRenderedPageBreak/>
              <w:t>Valinnaiset opinnot</w:t>
            </w:r>
          </w:p>
          <w:p w14:paraId="0B9E09F9" w14:textId="77777777" w:rsidR="005548D2" w:rsidRPr="005548D2" w:rsidRDefault="005548D2" w:rsidP="005548D2">
            <w:pPr>
              <w:spacing w:before="240" w:after="240" w:line="260" w:lineRule="exact"/>
              <w:rPr>
                <w:rFonts w:ascii="Tahoma" w:eastAsia="Times New Roman" w:hAnsi="Tahoma" w:cs="Tahoma"/>
                <w:sz w:val="20"/>
                <w:szCs w:val="20"/>
              </w:rPr>
            </w:pPr>
          </w:p>
        </w:tc>
        <w:tc>
          <w:tcPr>
            <w:tcW w:w="1134" w:type="dxa"/>
          </w:tcPr>
          <w:p w14:paraId="48F14C61"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15 op</w:t>
            </w:r>
          </w:p>
        </w:tc>
        <w:tc>
          <w:tcPr>
            <w:tcW w:w="6551" w:type="dxa"/>
          </w:tcPr>
          <w:p w14:paraId="6C0C048B" w14:textId="77777777" w:rsidR="005548D2" w:rsidRPr="005548D2" w:rsidRDefault="005548D2" w:rsidP="005548D2">
            <w:pPr>
              <w:spacing w:before="240" w:after="240" w:line="260" w:lineRule="exact"/>
              <w:rPr>
                <w:rFonts w:ascii="Tahoma" w:eastAsia="Times New Roman" w:hAnsi="Tahoma" w:cs="Tahoma"/>
                <w:color w:val="31A3B5"/>
                <w:sz w:val="20"/>
                <w:szCs w:val="20"/>
              </w:rPr>
            </w:pPr>
            <w:r w:rsidRPr="005548D2">
              <w:rPr>
                <w:rFonts w:ascii="Tahoma" w:eastAsia="Times New Roman" w:hAnsi="Tahoma" w:cs="Tahoma"/>
                <w:sz w:val="20"/>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5548D2" w:rsidRPr="005548D2" w14:paraId="4FD72EF8" w14:textId="77777777" w:rsidTr="002D4BB2">
        <w:tc>
          <w:tcPr>
            <w:tcW w:w="2093" w:type="dxa"/>
          </w:tcPr>
          <w:p w14:paraId="2C91C9AC" w14:textId="77777777" w:rsidR="005548D2" w:rsidRPr="005548D2" w:rsidRDefault="005548D2" w:rsidP="005548D2">
            <w:pPr>
              <w:spacing w:before="240" w:after="240" w:line="260" w:lineRule="exact"/>
              <w:rPr>
                <w:rFonts w:ascii="Tahoma" w:eastAsia="Times New Roman" w:hAnsi="Tahoma" w:cs="Tahoma"/>
                <w:b/>
                <w:sz w:val="20"/>
                <w:szCs w:val="20"/>
              </w:rPr>
            </w:pPr>
            <w:r w:rsidRPr="005548D2">
              <w:rPr>
                <w:rFonts w:ascii="Tahoma" w:eastAsia="Times New Roman" w:hAnsi="Tahoma" w:cs="Tahoma"/>
                <w:b/>
                <w:sz w:val="20"/>
                <w:szCs w:val="20"/>
              </w:rPr>
              <w:t>Yhteensä</w:t>
            </w:r>
          </w:p>
        </w:tc>
        <w:tc>
          <w:tcPr>
            <w:tcW w:w="1134" w:type="dxa"/>
          </w:tcPr>
          <w:p w14:paraId="6FF295A9" w14:textId="77777777" w:rsidR="005548D2" w:rsidRPr="005548D2" w:rsidRDefault="005548D2" w:rsidP="005548D2">
            <w:pPr>
              <w:spacing w:before="240" w:after="240" w:line="260" w:lineRule="exact"/>
              <w:rPr>
                <w:rFonts w:ascii="Tahoma" w:eastAsia="Times New Roman" w:hAnsi="Tahoma" w:cs="Tahoma"/>
                <w:sz w:val="20"/>
                <w:szCs w:val="20"/>
              </w:rPr>
            </w:pPr>
            <w:r w:rsidRPr="005548D2">
              <w:rPr>
                <w:rFonts w:ascii="Tahoma" w:eastAsia="Times New Roman" w:hAnsi="Tahoma" w:cs="Tahoma"/>
                <w:sz w:val="20"/>
                <w:szCs w:val="20"/>
              </w:rPr>
              <w:t>240 op</w:t>
            </w:r>
          </w:p>
        </w:tc>
        <w:tc>
          <w:tcPr>
            <w:tcW w:w="6551" w:type="dxa"/>
          </w:tcPr>
          <w:p w14:paraId="48646DDA" w14:textId="77777777" w:rsidR="005548D2" w:rsidRPr="005548D2" w:rsidRDefault="005548D2" w:rsidP="005548D2">
            <w:pPr>
              <w:spacing w:before="240" w:after="240" w:line="260" w:lineRule="exact"/>
              <w:rPr>
                <w:rFonts w:ascii="Tahoma" w:eastAsia="Times New Roman" w:hAnsi="Tahoma" w:cs="Tahoma"/>
                <w:sz w:val="20"/>
                <w:szCs w:val="20"/>
              </w:rPr>
            </w:pPr>
          </w:p>
        </w:tc>
      </w:tr>
    </w:tbl>
    <w:p w14:paraId="1188A7B0" w14:textId="44AB97E4" w:rsidR="59ED5045" w:rsidRDefault="59ED5045" w:rsidP="59ED5045">
      <w:pPr>
        <w:shd w:val="clear" w:color="auto" w:fill="FFFFFF" w:themeFill="background1"/>
        <w:spacing w:after="240"/>
        <w:rPr>
          <w:rFonts w:ascii="Tahoma" w:eastAsia="Times New Roman" w:hAnsi="Tahoma" w:cs="Tahoma"/>
          <w:color w:val="000000" w:themeColor="text1"/>
          <w:sz w:val="20"/>
          <w:szCs w:val="20"/>
          <w:lang w:val="en-US"/>
        </w:rPr>
      </w:pPr>
    </w:p>
    <w:sectPr w:rsidR="59ED50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D5"/>
    <w:rsid w:val="005548D2"/>
    <w:rsid w:val="005B457C"/>
    <w:rsid w:val="00B153D5"/>
    <w:rsid w:val="00F52F3A"/>
    <w:rsid w:val="2659DF5A"/>
    <w:rsid w:val="36AE1E0E"/>
    <w:rsid w:val="528BA5AC"/>
    <w:rsid w:val="59ED5045"/>
    <w:rsid w:val="5B46B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3D5"/>
    <w:pPr>
      <w:spacing w:after="200" w:line="276" w:lineRule="auto"/>
    </w:pPr>
    <w:rPr>
      <w:rFonts w:ascii="Calibri" w:eastAsia="Calibri" w:hAnsi="Calibri" w:cs="Times New Roman"/>
      <w:lang w:val="fi-FI"/>
    </w:rPr>
  </w:style>
  <w:style w:type="paragraph" w:styleId="Heading3">
    <w:name w:val="heading 3"/>
    <w:basedOn w:val="Normal"/>
    <w:link w:val="Heading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
    <w:basedOn w:val="Normal"/>
    <w:uiPriority w:val="34"/>
    <w:qFormat/>
    <w:rsid w:val="00B153D5"/>
    <w:pPr>
      <w:numPr>
        <w:numId w:val="1"/>
      </w:numPr>
      <w:contextualSpacing/>
    </w:pPr>
  </w:style>
  <w:style w:type="character" w:customStyle="1" w:styleId="Heading3Char">
    <w:name w:val="Heading 3 Char"/>
    <w:basedOn w:val="DefaultParagraphFont"/>
    <w:link w:val="Heading3"/>
    <w:uiPriority w:val="9"/>
    <w:rsid w:val="00B153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C2A8-4E36-42E7-80D4-9FFEAB901525}">
  <ds:schemaRefs>
    <ds:schemaRef ds:uri="http://schemas.openxmlformats.org/package/2006/metadata/core-properties"/>
    <ds:schemaRef ds:uri="http://schemas.microsoft.com/office/2006/documentManagement/types"/>
    <ds:schemaRef ds:uri="http://schemas.microsoft.com/office/infopath/2007/PartnerControls"/>
    <ds:schemaRef ds:uri="7c8954cf-07f3-412a-b26c-f20726d698a6"/>
    <ds:schemaRef ds:uri="http://purl.org/dc/elements/1.1/"/>
    <ds:schemaRef ds:uri="http://schemas.microsoft.com/office/2006/metadata/properties"/>
    <ds:schemaRef ds:uri="d7d571cd-4a35-464f-828c-ffa93fe25e18"/>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2388</Characters>
  <Application>Microsoft Office Word</Application>
  <DocSecurity>0</DocSecurity>
  <Lines>19</Lines>
  <Paragraphs>5</Paragraphs>
  <ScaleCrop>false</ScaleCrop>
  <Company>SAVONIA-AMK Oy</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6</cp:revision>
  <dcterms:created xsi:type="dcterms:W3CDTF">2022-05-23T09:51:00Z</dcterms:created>
  <dcterms:modified xsi:type="dcterms:W3CDTF">2022-05-24T06:11:00Z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