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98B07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  <w:bookmarkStart w:id="0" w:name="_Toc286761644"/>
      <w:bookmarkEnd w:id="0"/>
    </w:p>
    <w:p w14:paraId="194D908E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168B6C3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BE8A538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085909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13AD230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195A449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112ECA8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6D07382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296230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5022CD74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014E47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CDB40ED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5869322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2C7C2C1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4D925A4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5343EB7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77E1200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9400D30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FB22DC4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B6CAEAF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FB9AD7D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7F97D3D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ABEEC3C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FE921AC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31F82068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6F9E8BA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9DF483C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20F9965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E94EAFD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416D189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3C172B3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9B82D6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39D868BF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9245BDC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B85F640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360E1CF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E1CD7CA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1D203BC3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1922016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149B0BD5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2AD1417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301609CA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1C9F3824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01DEC8B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B04A6BE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00ADD35C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6B188DE9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01B59A2" w14:textId="77777777" w:rsidR="00F66009" w:rsidRDefault="00F66009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</w:p>
    <w:p w14:paraId="76759DFB" w14:textId="10B7D2ED" w:rsidR="000432FE" w:rsidRPr="005F7ADB" w:rsidRDefault="3A070B6F" w:rsidP="75BB29CC">
      <w:pPr>
        <w:pStyle w:val="NormalWeb"/>
        <w:spacing w:after="0"/>
        <w:rPr>
          <w:rFonts w:ascii="Arial" w:eastAsia="Arial" w:hAnsi="Arial" w:cs="Arial"/>
          <w:color w:val="FF0000"/>
        </w:rPr>
      </w:pPr>
      <w:r w:rsidRPr="47F95291">
        <w:rPr>
          <w:rFonts w:ascii="Arial" w:eastAsia="Arial" w:hAnsi="Arial" w:cs="Arial"/>
          <w:color w:val="FF0000"/>
        </w:rPr>
        <w:t xml:space="preserve">Vain taulukon alaosa (tradenomin ammatilliset kompetenssit) Primukseen nimellä </w:t>
      </w:r>
      <w:r w:rsidRPr="47F95291">
        <w:rPr>
          <w:rFonts w:ascii="Arial" w:eastAsia="Arial" w:hAnsi="Arial" w:cs="Arial"/>
          <w:b/>
          <w:bCs/>
          <w:color w:val="FF0000"/>
        </w:rPr>
        <w:t>LL</w:t>
      </w:r>
      <w:r w:rsidR="5D220B5F" w:rsidRPr="47F95291">
        <w:rPr>
          <w:rFonts w:ascii="Arial" w:eastAsia="Arial" w:hAnsi="Arial" w:cs="Arial"/>
          <w:b/>
          <w:bCs/>
          <w:color w:val="FF0000"/>
        </w:rPr>
        <w:t>21SP_</w:t>
      </w:r>
      <w:r w:rsidR="372EBC21" w:rsidRPr="47F95291">
        <w:rPr>
          <w:rFonts w:ascii="Arial" w:eastAsia="Arial" w:hAnsi="Arial" w:cs="Arial"/>
          <w:b/>
          <w:bCs/>
          <w:color w:val="FF0000"/>
        </w:rPr>
        <w:t>6</w:t>
      </w:r>
    </w:p>
    <w:p w14:paraId="71A3E971" w14:textId="77777777" w:rsidR="008C5EE6" w:rsidRPr="00B01F65" w:rsidRDefault="008C5EE6" w:rsidP="00CF590C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F66009" w14:paraId="26F6527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Yleiset kompetenssit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br/>
              <w:t>(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Generic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competences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Osaamisen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kuvaus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14:paraId="26F65283" w14:textId="77777777" w:rsidTr="007979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Oppimisen taidot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Learning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30C4" w14:textId="2144F36E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7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14:paraId="26F65280" w14:textId="77777777" w:rsidR="00CF590C" w:rsidRPr="00FC4C75" w:rsidRDefault="00CF590C" w:rsidP="007979E1">
            <w:pPr>
              <w:pStyle w:val="Groteskilista"/>
            </w:pPr>
            <w:bookmarkStart w:id="1" w:name="_GoBack"/>
            <w:bookmarkEnd w:id="1"/>
            <w:r w:rsidRPr="00FC4C75">
              <w:t xml:space="preserve">osaa hankkia, käsitellä ja arvioida tietoa kriittisesti </w:t>
            </w:r>
          </w:p>
          <w:p w14:paraId="26F65281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vastuuta ryhmän oppimisesta ja opitun jakamisesta</w:t>
            </w:r>
          </w:p>
          <w:p w14:paraId="26F65282" w14:textId="77777777" w:rsidR="00CF590C" w:rsidRPr="00FC4C75" w:rsidRDefault="00CF590C" w:rsidP="007979E1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CF590C" w:rsidRPr="00595FDF" w14:paraId="26F6528B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Ethical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8C0" w14:textId="577EACBC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85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14:paraId="26F65286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14:paraId="26F6528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14:paraId="26F6528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tasa-arvoisuuden periaatteita </w:t>
            </w:r>
          </w:p>
          <w:p w14:paraId="26F6528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kestävän kehityksen periaatteita </w:t>
            </w:r>
          </w:p>
          <w:p w14:paraId="26F6528A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14:paraId="26F65294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Working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community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8A8" w14:textId="1F768DD8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8D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14:paraId="26F6528E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14:paraId="26F6528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14:paraId="26F65290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14:paraId="26F65291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14:paraId="26F65292" w14:textId="77777777" w:rsidR="00CF590C" w:rsidRPr="00FC4C75" w:rsidRDefault="00CF590C" w:rsidP="007979E1">
            <w:pPr>
              <w:pStyle w:val="Groteskilista"/>
            </w:pPr>
            <w:r w:rsidRPr="00FC4C75">
              <w:t>kykenee työn johtamiseen ja itsenäiseen työskentelyyn asiantuntijatehtävissä</w:t>
            </w:r>
          </w:p>
          <w:p w14:paraId="26F65293" w14:textId="77777777" w:rsidR="00CF590C" w:rsidRPr="00FC4C75" w:rsidRDefault="00CF590C" w:rsidP="007979E1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14:paraId="26F6529A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(Innovation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5FED" w14:textId="1F81E045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96" w14:textId="77777777" w:rsidR="00FC4C75" w:rsidRDefault="00CF590C" w:rsidP="007979E1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14:paraId="26F6529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työskennellä projekteissa </w:t>
            </w:r>
          </w:p>
          <w:p w14:paraId="26F6529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toteuttaa tutkimus- ja kehittämishankkeita soveltaen alan olemassa olevaa tietoa ja menetelmiä </w:t>
            </w:r>
          </w:p>
          <w:p w14:paraId="26F6529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etsiä asiakaslähtöisiä, kestäviä ja taloudellisesti kannattavia ratkaisuja </w:t>
            </w:r>
          </w:p>
        </w:tc>
      </w:tr>
      <w:tr w:rsidR="00CF590C" w:rsidRPr="00595FDF" w14:paraId="26F6529F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International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B1A" w14:textId="19BC3CDA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9C" w14:textId="77777777" w:rsidR="00CF590C" w:rsidRPr="00FC4C75" w:rsidRDefault="00CF590C" w:rsidP="007979E1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14:paraId="26F6529D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monikulttuuriseen yhteistyöhön </w:t>
            </w:r>
          </w:p>
          <w:p w14:paraId="26F6529E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ottaa työssään huomioon alansa kansainvälisyyskehityksen vaikutuksia ja mahdollisuuksia </w:t>
            </w:r>
          </w:p>
        </w:tc>
      </w:tr>
      <w:tr w:rsidR="00CF590C" w:rsidRPr="00595FDF" w14:paraId="26F652A2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4CDF6E03" w:rsidR="00CF590C" w:rsidRPr="00FC4C75" w:rsidRDefault="00A52AAF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Tradenomin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3" w14:textId="30EF4B45" w:rsidR="00CF590C" w:rsidRPr="00FC4C75" w:rsidRDefault="00A52AAF" w:rsidP="007979E1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Laaja-alainen liiketoimintaosaaminen</w:t>
            </w:r>
          </w:p>
          <w:p w14:paraId="26F652A4" w14:textId="77777777" w:rsidR="00CF590C" w:rsidRPr="00FC4C75" w:rsidRDefault="00CF590C" w:rsidP="007979E1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7BF" w14:textId="00CC7DCE" w:rsidR="00C11540" w:rsidRDefault="00C11540" w:rsidP="00C11540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26F652A6" w14:textId="457C3AA1" w:rsidR="002D6394" w:rsidRDefault="00A52AAF" w:rsidP="002D6394">
            <w:pPr>
              <w:pStyle w:val="Groteskilista"/>
              <w:ind w:left="360" w:hanging="360"/>
            </w:pPr>
            <w:r>
              <w:t>tunnistaa ja osaa kuvata yrityksen ydinprosessit ja ymmärtää liiketalouden eri osa-alueiden vaikutukset toisiinsa</w:t>
            </w:r>
          </w:p>
          <w:p w14:paraId="26F652A7" w14:textId="006A1F68" w:rsidR="002D6394" w:rsidRDefault="00A52AAF" w:rsidP="002D6394">
            <w:pPr>
              <w:pStyle w:val="Groteskilista"/>
              <w:ind w:left="360" w:hanging="360"/>
            </w:pPr>
            <w:r>
              <w:t>ymmärtää yrityksen toiminnan ja liiketoimintaympäristön vuorovaikutuksen sekä omaksuu yrittäjyyden ja yrittäjämäisen tavan toimia</w:t>
            </w:r>
          </w:p>
          <w:p w14:paraId="02438CC9" w14:textId="77777777" w:rsidR="00A52AAF" w:rsidRDefault="00A52AAF" w:rsidP="002D6394">
            <w:pPr>
              <w:pStyle w:val="Groteskilista"/>
              <w:ind w:left="360" w:hanging="360"/>
            </w:pPr>
            <w:r>
              <w:t>ymmärtää kannattavan yritystoiminnan perusteet ja osaa analysoida yrityksen toimintaa ja riskejä</w:t>
            </w:r>
          </w:p>
          <w:p w14:paraId="747CB0BE" w14:textId="77777777" w:rsidR="00A52AAF" w:rsidRDefault="00A52AAF" w:rsidP="002D6394">
            <w:pPr>
              <w:pStyle w:val="Groteskilista"/>
              <w:ind w:left="360" w:hanging="360"/>
            </w:pPr>
            <w:r>
              <w:t>ymmärtää yksilön vaikutuksen työyhteisön toimintaan ja osaa toimia tuloksellisesti</w:t>
            </w:r>
          </w:p>
          <w:p w14:paraId="7247DF90" w14:textId="43CAB3ED" w:rsidR="00A52AAF" w:rsidRPr="00C3512D" w:rsidRDefault="00A52AAF" w:rsidP="002D6394">
            <w:pPr>
              <w:pStyle w:val="Groteskilista"/>
              <w:ind w:left="360" w:hanging="360"/>
            </w:pPr>
            <w:r>
              <w:t>ymmärtää viestinnän merkityksen ja luo aktiivisesti sekä sisäisten että ulkoisten sidosryhmien välisiä vuorovaikutussuhteita myös globaalissa liiketoimintaympäristössä</w:t>
            </w:r>
          </w:p>
          <w:p w14:paraId="26F652A8" w14:textId="77777777" w:rsidR="00CF590C" w:rsidRPr="00C3512D" w:rsidRDefault="00CF590C" w:rsidP="00C3512D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</w:rPr>
            </w:pPr>
          </w:p>
        </w:tc>
      </w:tr>
      <w:tr w:rsidR="00A52AAF" w:rsidRPr="00595FDF" w14:paraId="7FD1A04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0BA" w14:textId="27FF963F" w:rsidR="00A52AAF" w:rsidRDefault="00A52AAF" w:rsidP="007979E1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Liiketalouden syventävä 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480" w14:textId="77777777" w:rsidR="00A52AAF" w:rsidRDefault="00A52AAF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Tradenomilla on</w:t>
            </w:r>
          </w:p>
          <w:p w14:paraId="7F888906" w14:textId="77777777" w:rsidR="00A52AAF" w:rsidRDefault="00A52AAF" w:rsidP="00A52AAF">
            <w:pPr>
              <w:pStyle w:val="Groteskilista"/>
            </w:pPr>
            <w:r>
              <w:t>syvällistä osaamista henkilökohtaisen opetussuunnitelmansa mukaisilla osaamisalueilla (taloushallinto, myynti ja markkinointi)</w:t>
            </w:r>
          </w:p>
          <w:p w14:paraId="3CA0CBBC" w14:textId="77777777" w:rsidR="008C5EE6" w:rsidRDefault="00A52AAF" w:rsidP="008C5EE6">
            <w:pPr>
              <w:pStyle w:val="Groteskilista"/>
              <w:numPr>
                <w:ilvl w:val="0"/>
                <w:numId w:val="0"/>
              </w:numPr>
            </w:pPr>
            <w:r>
              <w:t xml:space="preserve">Tradenomi </w:t>
            </w:r>
          </w:p>
          <w:p w14:paraId="4284E853" w14:textId="04217CC9" w:rsidR="00A52AAF" w:rsidRDefault="00A52AAF" w:rsidP="008C5EE6">
            <w:pPr>
              <w:pStyle w:val="Groteskilista"/>
            </w:pPr>
            <w:r>
              <w:t>tunnistaa muuttuvan ja kansainvälistyvän liiketoimintaympäristön vaatimukset alueen pk-yritysten liiketoiminnan kehittämisen kannalta</w:t>
            </w:r>
          </w:p>
        </w:tc>
      </w:tr>
      <w:tr w:rsidR="00A52AAF" w:rsidRPr="00595FDF" w14:paraId="206DDD85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2DA" w14:textId="31D7F80F" w:rsidR="00A52AAF" w:rsidRDefault="00A52AAF" w:rsidP="007979E1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Liiketalouden menetelmäosaaminen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0FC" w14:textId="77777777" w:rsidR="00A52AAF" w:rsidRDefault="00C11540" w:rsidP="00A52AAF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Tradenomi</w:t>
            </w:r>
          </w:p>
          <w:p w14:paraId="790C76EB" w14:textId="77777777" w:rsidR="00C11540" w:rsidRDefault="00C11540" w:rsidP="00C11540">
            <w:pPr>
              <w:pStyle w:val="Groteskilista"/>
            </w:pPr>
            <w:r>
              <w:t>osaa käyttää tehtävissään tutkivaa kehittämisotetta</w:t>
            </w:r>
          </w:p>
          <w:p w14:paraId="00ED088E" w14:textId="4B800C82" w:rsidR="00C11540" w:rsidRDefault="00C11540" w:rsidP="00C11540">
            <w:pPr>
              <w:pStyle w:val="Groteskilista"/>
            </w:pPr>
            <w:r>
              <w:t>omaa riittävät taidot laadullisten ja määrällisten tutkimusmenetelmien soveltamisessa</w:t>
            </w:r>
          </w:p>
        </w:tc>
      </w:tr>
    </w:tbl>
    <w:p w14:paraId="26F652C6" w14:textId="6E3B16D8" w:rsidR="00CF590C" w:rsidRPr="00595FDF" w:rsidRDefault="00CF590C" w:rsidP="00CF590C">
      <w:pPr>
        <w:rPr>
          <w:rFonts w:cs="Calibri"/>
          <w:b/>
          <w:bCs/>
          <w:sz w:val="24"/>
        </w:rPr>
      </w:pPr>
    </w:p>
    <w:p w14:paraId="0FCDE45D" w14:textId="7DEEABA8" w:rsidR="00A52AAF" w:rsidRDefault="00A52AAF" w:rsidP="00A52AAF">
      <w:pPr>
        <w:pStyle w:val="NormalWeb"/>
        <w:spacing w:line="300" w:lineRule="atLeast"/>
      </w:pPr>
    </w:p>
    <w:sectPr w:rsidR="00A52AAF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F9293" w14:textId="77777777" w:rsidR="002A242F" w:rsidRDefault="002A242F">
      <w:pPr>
        <w:spacing w:line="240" w:lineRule="auto"/>
      </w:pPr>
      <w:r>
        <w:separator/>
      </w:r>
    </w:p>
  </w:endnote>
  <w:endnote w:type="continuationSeparator" w:id="0">
    <w:p w14:paraId="383AA9B3" w14:textId="77777777" w:rsidR="002A242F" w:rsidRDefault="002A2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21F4" w14:textId="77777777" w:rsidR="002A242F" w:rsidRDefault="002A242F">
      <w:pPr>
        <w:spacing w:line="240" w:lineRule="auto"/>
      </w:pPr>
      <w:r>
        <w:separator/>
      </w:r>
    </w:p>
  </w:footnote>
  <w:footnote w:type="continuationSeparator" w:id="0">
    <w:p w14:paraId="646EF0D7" w14:textId="77777777" w:rsidR="002A242F" w:rsidRDefault="002A24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202C0C7E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709440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47F95291">
      <w:t>TRADENOMI-OPS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F66009">
      <w:rPr>
        <w:noProof/>
      </w:rPr>
      <w:t>1</w:t>
    </w:r>
    <w:r w:rsidRPr="00CD2C23">
      <w:fldChar w:fldCharType="end"/>
    </w:r>
    <w:r w:rsidR="47F95291" w:rsidRPr="00CD2C23">
      <w:t xml:space="preserve"> / </w:t>
    </w:r>
    <w:fldSimple w:instr="NUMPAGES  \* Arabic  \* MERGEFORMAT">
      <w:r w:rsidR="00F66009">
        <w:rPr>
          <w:noProof/>
        </w:rPr>
        <w:t>3</w:t>
      </w:r>
    </w:fldSimple>
    <w:r w:rsidR="47F95291" w:rsidRPr="00CD2C23">
      <w:t xml:space="preserve"> </w:t>
    </w:r>
    <w:r w:rsidRPr="00CD2C23">
      <w:br/>
    </w:r>
  </w:p>
  <w:p w14:paraId="26F65391" w14:textId="0FB0B890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F66009">
      <w:rPr>
        <w:noProof/>
      </w:rPr>
      <w:t>1.12.2020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A7F4DEE">
            <v:rect id="Rectangle 1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accd [3207]" stroked="f" w14:anchorId="72587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B3B9A"/>
    <w:multiLevelType w:val="multilevel"/>
    <w:tmpl w:val="AA3415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4"/>
  </w:num>
  <w:num w:numId="4">
    <w:abstractNumId w:val="3"/>
  </w:num>
  <w:num w:numId="5">
    <w:abstractNumId w:val="25"/>
  </w:num>
  <w:num w:numId="6">
    <w:abstractNumId w:val="22"/>
  </w:num>
  <w:num w:numId="7">
    <w:abstractNumId w:val="32"/>
  </w:num>
  <w:num w:numId="8">
    <w:abstractNumId w:val="7"/>
  </w:num>
  <w:num w:numId="9">
    <w:abstractNumId w:val="20"/>
  </w:num>
  <w:num w:numId="10">
    <w:abstractNumId w:val="12"/>
  </w:num>
  <w:num w:numId="11">
    <w:abstractNumId w:val="6"/>
  </w:num>
  <w:num w:numId="12">
    <w:abstractNumId w:val="26"/>
  </w:num>
  <w:num w:numId="13">
    <w:abstractNumId w:val="33"/>
  </w:num>
  <w:num w:numId="14">
    <w:abstractNumId w:val="4"/>
  </w:num>
  <w:num w:numId="15">
    <w:abstractNumId w:val="30"/>
  </w:num>
  <w:num w:numId="16">
    <w:abstractNumId w:val="11"/>
  </w:num>
  <w:num w:numId="17">
    <w:abstractNumId w:val="34"/>
  </w:num>
  <w:num w:numId="18">
    <w:abstractNumId w:val="37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9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10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3"/>
  </w:num>
  <w:num w:numId="38">
    <w:abstractNumId w:val="31"/>
  </w:num>
  <w:num w:numId="39">
    <w:abstractNumId w:val="19"/>
  </w:num>
  <w:num w:numId="40">
    <w:abstractNumId w:val="35"/>
  </w:num>
  <w:num w:numId="41">
    <w:abstractNumId w:val="2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3B2A"/>
    <w:rsid w:val="000044E9"/>
    <w:rsid w:val="00014AF7"/>
    <w:rsid w:val="000173E0"/>
    <w:rsid w:val="000215A5"/>
    <w:rsid w:val="0003351A"/>
    <w:rsid w:val="0003488E"/>
    <w:rsid w:val="00035CF1"/>
    <w:rsid w:val="00040C46"/>
    <w:rsid w:val="000432FE"/>
    <w:rsid w:val="000502B5"/>
    <w:rsid w:val="0006008F"/>
    <w:rsid w:val="00072E02"/>
    <w:rsid w:val="0009267E"/>
    <w:rsid w:val="000A1ABA"/>
    <w:rsid w:val="000B0005"/>
    <w:rsid w:val="000B7DC5"/>
    <w:rsid w:val="000C1D76"/>
    <w:rsid w:val="000C2E36"/>
    <w:rsid w:val="000E45E2"/>
    <w:rsid w:val="00102816"/>
    <w:rsid w:val="00112E8E"/>
    <w:rsid w:val="00114746"/>
    <w:rsid w:val="00131D04"/>
    <w:rsid w:val="00151DE9"/>
    <w:rsid w:val="00164B60"/>
    <w:rsid w:val="001669C3"/>
    <w:rsid w:val="001867EB"/>
    <w:rsid w:val="001B44E0"/>
    <w:rsid w:val="001D222E"/>
    <w:rsid w:val="001D2B53"/>
    <w:rsid w:val="001E6D93"/>
    <w:rsid w:val="001F2650"/>
    <w:rsid w:val="0023795B"/>
    <w:rsid w:val="0024266B"/>
    <w:rsid w:val="00250EE7"/>
    <w:rsid w:val="00262F69"/>
    <w:rsid w:val="00267FF7"/>
    <w:rsid w:val="002705C7"/>
    <w:rsid w:val="00293DC6"/>
    <w:rsid w:val="002A242F"/>
    <w:rsid w:val="002B04F6"/>
    <w:rsid w:val="002C3FEE"/>
    <w:rsid w:val="002D00EA"/>
    <w:rsid w:val="002D6394"/>
    <w:rsid w:val="002D73BA"/>
    <w:rsid w:val="002F3509"/>
    <w:rsid w:val="00306DCD"/>
    <w:rsid w:val="00323654"/>
    <w:rsid w:val="00324330"/>
    <w:rsid w:val="003265B8"/>
    <w:rsid w:val="00333DDC"/>
    <w:rsid w:val="003425D9"/>
    <w:rsid w:val="00343187"/>
    <w:rsid w:val="00367F25"/>
    <w:rsid w:val="003721F0"/>
    <w:rsid w:val="00394F5E"/>
    <w:rsid w:val="003957A5"/>
    <w:rsid w:val="003A577A"/>
    <w:rsid w:val="003B3B88"/>
    <w:rsid w:val="003C7517"/>
    <w:rsid w:val="003C7954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93EAD"/>
    <w:rsid w:val="00496B90"/>
    <w:rsid w:val="004A0D5D"/>
    <w:rsid w:val="004B065E"/>
    <w:rsid w:val="004B593D"/>
    <w:rsid w:val="004D71BF"/>
    <w:rsid w:val="004E09A2"/>
    <w:rsid w:val="004E5A7B"/>
    <w:rsid w:val="00521366"/>
    <w:rsid w:val="0053055E"/>
    <w:rsid w:val="00542286"/>
    <w:rsid w:val="00542701"/>
    <w:rsid w:val="00545E1C"/>
    <w:rsid w:val="0056264F"/>
    <w:rsid w:val="0057022A"/>
    <w:rsid w:val="005A020C"/>
    <w:rsid w:val="005B49CF"/>
    <w:rsid w:val="005C37BB"/>
    <w:rsid w:val="005C669B"/>
    <w:rsid w:val="005D2CBD"/>
    <w:rsid w:val="005F7ADB"/>
    <w:rsid w:val="0060204F"/>
    <w:rsid w:val="0060520B"/>
    <w:rsid w:val="00612BE8"/>
    <w:rsid w:val="006341FF"/>
    <w:rsid w:val="00642C30"/>
    <w:rsid w:val="00647B06"/>
    <w:rsid w:val="00670639"/>
    <w:rsid w:val="00680DB5"/>
    <w:rsid w:val="0068275C"/>
    <w:rsid w:val="0068419B"/>
    <w:rsid w:val="00691E05"/>
    <w:rsid w:val="006941CC"/>
    <w:rsid w:val="0069632C"/>
    <w:rsid w:val="006B12D0"/>
    <w:rsid w:val="006B5224"/>
    <w:rsid w:val="006D20B3"/>
    <w:rsid w:val="006E1E49"/>
    <w:rsid w:val="006F5949"/>
    <w:rsid w:val="00704AB1"/>
    <w:rsid w:val="0071219B"/>
    <w:rsid w:val="00736C1E"/>
    <w:rsid w:val="00740820"/>
    <w:rsid w:val="00751465"/>
    <w:rsid w:val="00761A74"/>
    <w:rsid w:val="00765DC2"/>
    <w:rsid w:val="00782CAD"/>
    <w:rsid w:val="00794CFC"/>
    <w:rsid w:val="007979E1"/>
    <w:rsid w:val="007A3141"/>
    <w:rsid w:val="007C15BA"/>
    <w:rsid w:val="007C6365"/>
    <w:rsid w:val="007C656A"/>
    <w:rsid w:val="007D79DC"/>
    <w:rsid w:val="007F1448"/>
    <w:rsid w:val="007F6834"/>
    <w:rsid w:val="0081147B"/>
    <w:rsid w:val="008374A1"/>
    <w:rsid w:val="00856240"/>
    <w:rsid w:val="008631C3"/>
    <w:rsid w:val="00874EFB"/>
    <w:rsid w:val="008832CE"/>
    <w:rsid w:val="00896CF6"/>
    <w:rsid w:val="008A4D8D"/>
    <w:rsid w:val="008B750C"/>
    <w:rsid w:val="008C2F70"/>
    <w:rsid w:val="008C5EE6"/>
    <w:rsid w:val="008D1C58"/>
    <w:rsid w:val="008D481B"/>
    <w:rsid w:val="008D6A95"/>
    <w:rsid w:val="008E28E1"/>
    <w:rsid w:val="00903F9A"/>
    <w:rsid w:val="00905C94"/>
    <w:rsid w:val="009233E0"/>
    <w:rsid w:val="00933479"/>
    <w:rsid w:val="00934304"/>
    <w:rsid w:val="00940738"/>
    <w:rsid w:val="0096553B"/>
    <w:rsid w:val="00965E86"/>
    <w:rsid w:val="00976CEB"/>
    <w:rsid w:val="0098063F"/>
    <w:rsid w:val="00982914"/>
    <w:rsid w:val="009B4EC7"/>
    <w:rsid w:val="009B7BC9"/>
    <w:rsid w:val="009E58F8"/>
    <w:rsid w:val="009E6DE1"/>
    <w:rsid w:val="009F0D2F"/>
    <w:rsid w:val="009F6527"/>
    <w:rsid w:val="00A11ACE"/>
    <w:rsid w:val="00A21EDA"/>
    <w:rsid w:val="00A52AAF"/>
    <w:rsid w:val="00A676D3"/>
    <w:rsid w:val="00A975D0"/>
    <w:rsid w:val="00AA361E"/>
    <w:rsid w:val="00AB6733"/>
    <w:rsid w:val="00AC507E"/>
    <w:rsid w:val="00AE1654"/>
    <w:rsid w:val="00B01F65"/>
    <w:rsid w:val="00B107F9"/>
    <w:rsid w:val="00B11269"/>
    <w:rsid w:val="00B22E97"/>
    <w:rsid w:val="00B253C9"/>
    <w:rsid w:val="00B52CF0"/>
    <w:rsid w:val="00B63BFE"/>
    <w:rsid w:val="00B6726E"/>
    <w:rsid w:val="00B67405"/>
    <w:rsid w:val="00B813F0"/>
    <w:rsid w:val="00B84CE9"/>
    <w:rsid w:val="00BB610F"/>
    <w:rsid w:val="00BC456B"/>
    <w:rsid w:val="00BC6388"/>
    <w:rsid w:val="00BF7041"/>
    <w:rsid w:val="00C03C46"/>
    <w:rsid w:val="00C11540"/>
    <w:rsid w:val="00C17F8A"/>
    <w:rsid w:val="00C22A8C"/>
    <w:rsid w:val="00C26DD1"/>
    <w:rsid w:val="00C3512D"/>
    <w:rsid w:val="00C45ACC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22A8F"/>
    <w:rsid w:val="00D346D5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E45AED"/>
    <w:rsid w:val="00E66EF1"/>
    <w:rsid w:val="00E8460A"/>
    <w:rsid w:val="00E90C25"/>
    <w:rsid w:val="00EB4795"/>
    <w:rsid w:val="00EC7F70"/>
    <w:rsid w:val="00ED0953"/>
    <w:rsid w:val="00ED2BBB"/>
    <w:rsid w:val="00ED4DC8"/>
    <w:rsid w:val="00ED6814"/>
    <w:rsid w:val="00EF188B"/>
    <w:rsid w:val="00F16290"/>
    <w:rsid w:val="00F22D86"/>
    <w:rsid w:val="00F31BB7"/>
    <w:rsid w:val="00F5010C"/>
    <w:rsid w:val="00F65B83"/>
    <w:rsid w:val="00F65CA8"/>
    <w:rsid w:val="00F66009"/>
    <w:rsid w:val="00F662E9"/>
    <w:rsid w:val="00F67D6E"/>
    <w:rsid w:val="00F718E6"/>
    <w:rsid w:val="00F72BCA"/>
    <w:rsid w:val="00FA1116"/>
    <w:rsid w:val="00FA6DE6"/>
    <w:rsid w:val="00FC4C75"/>
    <w:rsid w:val="00FD26C1"/>
    <w:rsid w:val="00FE0343"/>
    <w:rsid w:val="00FF278E"/>
    <w:rsid w:val="0C5D2D66"/>
    <w:rsid w:val="372EBC21"/>
    <w:rsid w:val="3A070B6F"/>
    <w:rsid w:val="47F95291"/>
    <w:rsid w:val="54A2014D"/>
    <w:rsid w:val="588647CB"/>
    <w:rsid w:val="5D220B5F"/>
    <w:rsid w:val="75B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iPriority w:val="99"/>
    <w:semiHidden/>
    <w:unhideWhenUsed/>
    <w:rsid w:val="003957A5"/>
    <w:pPr>
      <w:spacing w:before="0" w:after="150" w:line="240" w:lineRule="auto"/>
    </w:pPr>
    <w:rPr>
      <w:rFonts w:ascii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6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5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1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45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5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9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03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D292B9B865129479743050877C37478" ma:contentTypeVersion="14" ma:contentTypeDescription="Luo uusi asiakirja." ma:contentTypeScope="" ma:versionID="2ce8a2af4702e488c596e3ff16175028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2016-10-09T21:00:00+00:00</Kohdistuspaiva>
    <TaxCatchAll xmlns="03ca75a4-7525-4fd0-b461-2a607204cfe9"/>
    <Aihealue xmlns="03ca75a4-7525-4fd0-b461-2a607204cfe9">O&amp;O</Aihealue>
    <Asiakirjatyyppi xmlns="03ca75a4-7525-4fd0-b461-2a607204cfe9">Ohje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SAVONIA-957-26</_dlc_DocId>
    <_dlc_DocIdUrl xmlns="03ca75a4-7525-4fd0-b461-2a607204cfe9">
      <Url>https://santra.savonia.fi/tiimit/koulutuksenryhma/_layouts/DocIdRedir.aspx?ID=SAVONIA-957-26</Url>
      <Description>SAVONIA-957-26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8AB27E-DCC5-4AA6-894B-28F7669C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6.xml><?xml version="1.0" encoding="utf-8"?>
<ds:datastoreItem xmlns:ds="http://schemas.openxmlformats.org/officeDocument/2006/customXml" ds:itemID="{45526B7F-0E52-48B2-9C95-FFA1885C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0</TotalTime>
  <Pages>3</Pages>
  <Words>361</Words>
  <Characters>2930</Characters>
  <Application>Microsoft Office Word</Application>
  <DocSecurity>0</DocSecurity>
  <Lines>24</Lines>
  <Paragraphs>6</Paragraphs>
  <ScaleCrop>false</ScaleCrop>
  <Company>Savonia-AMK Ky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8</cp:revision>
  <cp:lastPrinted>2011-06-08T08:20:00Z</cp:lastPrinted>
  <dcterms:created xsi:type="dcterms:W3CDTF">2016-11-16T10:37:00Z</dcterms:created>
  <dcterms:modified xsi:type="dcterms:W3CDTF">2020-12-01T11:17:00Z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0x0101007C99A6B7AEA5684BA478728D451E0C6F00AD292B9B865129479743050877C37478</vt:lpwstr>
  </property>
  <property fmtid="{D5CDD505-2E9C-101B-9397-08002B2CF9AE}" pid="3" name="_dlc_DocIdItemGuid">
    <vt:lpwstr>0c2c0d48-5c48-4ef4-96fa-b178144358d7</vt:lpwstr>
  </property>
  <property fmtid="{D5CDD505-2E9C-101B-9397-08002B2CF9AE}" pid="4" name="Asiasanat">
    <vt:lpwstr/>
  </property>
</Properties>
</file>