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sdt>
      <w:sdtPr>
        <w:rPr>
          <w:rFonts w:asciiTheme="majorHAnsi" w:eastAsia="Calibri" w:hAnsiTheme="majorHAnsi"/>
          <w:b/>
          <w:color w:val="FFFFFF" w:themeColor="background1"/>
        </w:rPr>
        <w:id w:val="456458729"/>
        <w:docPartObj>
          <w:docPartGallery w:val="Cover Pages"/>
          <w:docPartUnique/>
        </w:docPartObj>
      </w:sdtPr>
      <w:sdtEndPr/>
      <w:sdtContent>
        <w:p w14:paraId="26F6522D" w14:textId="77777777" w:rsidR="008D6A95" w:rsidRPr="008D6A95" w:rsidRDefault="008D6A95">
          <w:pPr>
            <w:rPr>
              <w:color w:val="FFFFFF" w:themeColor="background1"/>
            </w:rPr>
          </w:pPr>
        </w:p>
        <w:p w14:paraId="26F6522E" w14:textId="77777777" w:rsidR="008D6A95" w:rsidRPr="008D6A95" w:rsidRDefault="008D6A95">
          <w:pPr>
            <w:rPr>
              <w:color w:val="FFFFFF" w:themeColor="background1"/>
            </w:rPr>
          </w:pPr>
        </w:p>
        <w:p w14:paraId="26F6522F" w14:textId="77777777" w:rsidR="008D6A95" w:rsidRDefault="008D6A95">
          <w:pPr>
            <w:rPr>
              <w:color w:val="FFFFFF" w:themeColor="background1"/>
            </w:rPr>
          </w:pPr>
        </w:p>
        <w:p w14:paraId="26F65230" w14:textId="7FEE9C26" w:rsidR="00D55424" w:rsidRPr="00D55424" w:rsidRDefault="00645441" w:rsidP="00D55424">
          <w:pPr>
            <w:pStyle w:val="Kansilehdenotsikko"/>
          </w:pPr>
          <w:r>
            <w:t>Bio- ja kiertotalouden muuntokoulutus</w:t>
          </w:r>
        </w:p>
        <w:p w14:paraId="26F65231" w14:textId="566CCA32" w:rsidR="00D55424" w:rsidRDefault="00645441" w:rsidP="00D55424">
          <w:pPr>
            <w:pStyle w:val="Kansilehdenotsikontarkenne"/>
          </w:pPr>
          <w:r>
            <w:t>Opetussuunnitelma</w:t>
          </w:r>
        </w:p>
        <w:p w14:paraId="2695CB17" w14:textId="2E26C5E0" w:rsidR="00645441" w:rsidRDefault="00645441" w:rsidP="00D55424">
          <w:pPr>
            <w:pStyle w:val="Kansilehdenotsikontarkenne"/>
          </w:pPr>
          <w:r>
            <w:t>En</w:t>
          </w:r>
          <w:r w:rsidR="00A90DB9">
            <w:t>ergiatekniikan insinööri (AMK)</w:t>
          </w:r>
        </w:p>
        <w:p w14:paraId="082ADC60" w14:textId="10798B81" w:rsidR="00645441" w:rsidRPr="00D55424" w:rsidRDefault="00645441" w:rsidP="00D55424">
          <w:pPr>
            <w:pStyle w:val="Kansilehdenotsikontarkenne"/>
          </w:pPr>
          <w:r>
            <w:t>Bio- ja kiertotalouden suuntautuminen</w:t>
          </w:r>
        </w:p>
        <w:p w14:paraId="26F65232" w14:textId="77777777" w:rsidR="00306DCD" w:rsidRDefault="00306DCD" w:rsidP="00D55424">
          <w:pPr>
            <w:pStyle w:val="Kansilehdenotsikontarkenne"/>
          </w:pPr>
        </w:p>
        <w:p w14:paraId="55DBB86E" w14:textId="77777777" w:rsidR="00AF25CC" w:rsidRDefault="00AF25CC" w:rsidP="00D55424">
          <w:pPr>
            <w:pStyle w:val="Kansilehdenotsikontarkenne"/>
          </w:pPr>
        </w:p>
        <w:p w14:paraId="693F3FC8" w14:textId="77777777" w:rsidR="00AF25CC" w:rsidRDefault="00AF25CC" w:rsidP="00D55424">
          <w:pPr>
            <w:pStyle w:val="Kansilehdenotsikontarkenne"/>
          </w:pPr>
        </w:p>
        <w:p w14:paraId="3A7EC41B" w14:textId="77777777" w:rsidR="00AF25CC" w:rsidRDefault="00AF25CC" w:rsidP="00D55424">
          <w:pPr>
            <w:pStyle w:val="Kansilehdenotsikontarkenne"/>
          </w:pPr>
        </w:p>
        <w:p w14:paraId="548DA99B" w14:textId="77777777" w:rsidR="00AF25CC" w:rsidRDefault="00AF25CC" w:rsidP="00D55424">
          <w:pPr>
            <w:pStyle w:val="Kansilehdenotsikontarkenne"/>
          </w:pPr>
        </w:p>
        <w:p w14:paraId="2C362197" w14:textId="77777777" w:rsidR="00AF25CC" w:rsidRDefault="00AF25CC" w:rsidP="00D55424">
          <w:pPr>
            <w:pStyle w:val="Kansilehdenotsikontarkenne"/>
          </w:pPr>
        </w:p>
        <w:p w14:paraId="26F65234" w14:textId="46CCBB9B" w:rsidR="000A1ABA" w:rsidRDefault="00645441" w:rsidP="00D55424">
          <w:pPr>
            <w:pStyle w:val="Kansilehdenotsikontarkenne"/>
          </w:pPr>
          <w:r>
            <w:t xml:space="preserve">Koulutus toteutetaan yhteistyössä </w:t>
          </w:r>
          <w:r w:rsidR="0004453D">
            <w:t>Savonia -</w:t>
          </w:r>
          <w:r w:rsidR="003C44BA">
            <w:t>,</w:t>
          </w:r>
          <w:r w:rsidR="0004453D">
            <w:t xml:space="preserve"> Kajaanin, Lapin, Karelia- ja Centria-ammattikorkeakoulu.</w:t>
          </w:r>
        </w:p>
        <w:p w14:paraId="3745FDC1" w14:textId="0E6C6464" w:rsidR="0004453D" w:rsidRDefault="0004453D" w:rsidP="00D55424">
          <w:pPr>
            <w:pStyle w:val="Kansilehdenotsikontarkenne"/>
          </w:pPr>
        </w:p>
        <w:p w14:paraId="6F541842" w14:textId="56A614AA" w:rsidR="0004453D" w:rsidRDefault="0004453D" w:rsidP="00D55424">
          <w:pPr>
            <w:pStyle w:val="Kansilehdenotsikontarkenne"/>
          </w:pPr>
          <w:r>
            <w:t>Hankkeelle on saatu avustusta opetus- ja kulttuuriministeriöstä.</w:t>
          </w:r>
        </w:p>
        <w:p w14:paraId="26F65235" w14:textId="157470DA" w:rsidR="000A1ABA" w:rsidRPr="000A1ABA" w:rsidRDefault="000A1ABA" w:rsidP="00D55424">
          <w:pPr>
            <w:pStyle w:val="Kansilehdenotsikontarkenne"/>
            <w:rPr>
              <w:color w:val="FF0000"/>
            </w:rPr>
          </w:pPr>
        </w:p>
        <w:p w14:paraId="26F65236" w14:textId="77777777" w:rsidR="00B22E97" w:rsidRDefault="00B22E97" w:rsidP="000215A5">
          <w:pPr>
            <w:pStyle w:val="Kansilehdenotsikontarkenne"/>
          </w:pPr>
        </w:p>
        <w:p w14:paraId="26F65237" w14:textId="77777777" w:rsidR="00B22E97" w:rsidRDefault="00B22E97" w:rsidP="000215A5">
          <w:pPr>
            <w:pStyle w:val="Kansilehdenotsikontarkenne"/>
          </w:pPr>
        </w:p>
        <w:p w14:paraId="26F65238" w14:textId="77777777" w:rsidR="00B22E97" w:rsidRDefault="00B22E97" w:rsidP="000215A5">
          <w:pPr>
            <w:pStyle w:val="Kansilehdenotsikontarkenne"/>
          </w:pPr>
        </w:p>
        <w:p w14:paraId="26F65239" w14:textId="77777777" w:rsidR="00B22E97" w:rsidRDefault="00B22E97" w:rsidP="000215A5">
          <w:pPr>
            <w:pStyle w:val="Kansilehdenotsikontarkenne"/>
          </w:pPr>
        </w:p>
        <w:p w14:paraId="26F6523A" w14:textId="77777777" w:rsidR="00B22E97" w:rsidRDefault="00B22E97" w:rsidP="000215A5">
          <w:pPr>
            <w:pStyle w:val="Kansilehdenotsikontarkenne"/>
          </w:pPr>
        </w:p>
        <w:p w14:paraId="26F6523B" w14:textId="77777777" w:rsidR="00B22E97" w:rsidRDefault="00B22E97" w:rsidP="000215A5">
          <w:pPr>
            <w:pStyle w:val="Kansilehdenotsikontarkenne"/>
          </w:pPr>
        </w:p>
        <w:p w14:paraId="26F6523C" w14:textId="77777777" w:rsidR="00B22E97" w:rsidRDefault="00B22E97" w:rsidP="000215A5">
          <w:pPr>
            <w:pStyle w:val="Kansilehdenotsikontarkenne"/>
          </w:pPr>
        </w:p>
        <w:p w14:paraId="26F6523D" w14:textId="77777777" w:rsidR="00B22E97" w:rsidRDefault="00B22E97" w:rsidP="000215A5">
          <w:pPr>
            <w:pStyle w:val="Kansilehdenotsikontarkenne"/>
          </w:pPr>
        </w:p>
        <w:p w14:paraId="26F6523E" w14:textId="77777777" w:rsidR="00D55424" w:rsidRDefault="00D55424" w:rsidP="00B22E97">
          <w:pPr>
            <w:pStyle w:val="Kansilehdenotsikontarkenne"/>
          </w:pPr>
        </w:p>
        <w:p w14:paraId="26F6523F" w14:textId="77777777" w:rsidR="00D55424" w:rsidRDefault="00D55424" w:rsidP="00B22E97">
          <w:pPr>
            <w:pStyle w:val="Kansilehdenotsikontarkenne"/>
          </w:pPr>
        </w:p>
        <w:p w14:paraId="26F65240" w14:textId="77777777" w:rsidR="00FE0343" w:rsidRDefault="00FE0343">
          <w:pPr>
            <w:spacing w:before="0" w:after="0" w:line="240" w:lineRule="auto"/>
            <w:rPr>
              <w:rFonts w:asciiTheme="majorHAnsi" w:eastAsia="Calibri" w:hAnsiTheme="majorHAnsi"/>
              <w:b/>
              <w:color w:val="FFFFFF" w:themeColor="background1"/>
            </w:rPr>
          </w:pPr>
          <w:r>
            <w:br w:type="page"/>
          </w:r>
        </w:p>
        <w:p w14:paraId="26F65241" w14:textId="77777777" w:rsidR="00D55424" w:rsidRDefault="00D55424" w:rsidP="00B22E97">
          <w:pPr>
            <w:pStyle w:val="Kansilehdenotsikontarkenne"/>
          </w:pPr>
        </w:p>
        <w:p w14:paraId="26F65242" w14:textId="77777777" w:rsidR="008D6A95" w:rsidRPr="00B22E97" w:rsidRDefault="009F5AAD" w:rsidP="00B22E97">
          <w:pPr>
            <w:pStyle w:val="Kansilehdenotsikontarkenne"/>
          </w:pPr>
        </w:p>
      </w:sdtContent>
    </w:sdt>
    <w:sdt>
      <w:sdtPr>
        <w:rPr>
          <w:rFonts w:ascii="Georgia" w:eastAsia="Times New Roman" w:hAnsi="Georgia" w:cs="Times New Roman"/>
          <w:b w:val="0"/>
          <w:bCs w:val="0"/>
          <w:sz w:val="20"/>
          <w:szCs w:val="24"/>
          <w:lang w:val="fi-FI"/>
        </w:rPr>
        <w:id w:val="561369998"/>
        <w:docPartObj>
          <w:docPartGallery w:val="Table of Contents"/>
          <w:docPartUnique/>
        </w:docPartObj>
      </w:sdtPr>
      <w:sdtEndPr>
        <w:rPr>
          <w:rFonts w:ascii="Calibri" w:hAnsi="Calibri"/>
        </w:rPr>
      </w:sdtEndPr>
      <w:sdtContent>
        <w:p w14:paraId="26F65243" w14:textId="77777777" w:rsidR="00267FF7" w:rsidRDefault="00267FF7">
          <w:pPr>
            <w:pStyle w:val="TOCHeading"/>
            <w:rPr>
              <w:lang w:val="fi-FI"/>
            </w:rPr>
          </w:pPr>
          <w:r>
            <w:rPr>
              <w:lang w:val="fi-FI"/>
            </w:rPr>
            <w:t>Sisällys</w:t>
          </w:r>
        </w:p>
        <w:p w14:paraId="26F65244" w14:textId="77777777" w:rsidR="00ED0953" w:rsidRPr="00ED0953" w:rsidRDefault="00ED0953" w:rsidP="00ED0953">
          <w:pPr>
            <w:pStyle w:val="TOC1"/>
            <w:rPr>
              <w:lang w:val="fi-FI"/>
            </w:rPr>
          </w:pPr>
        </w:p>
        <w:p w14:paraId="41D494BE" w14:textId="3E65F093" w:rsidR="00C5268A" w:rsidRDefault="0003351A">
          <w:pPr>
            <w:pStyle w:val="TOC1"/>
            <w:rPr>
              <w:rFonts w:asciiTheme="minorHAnsi" w:hAnsiTheme="minorHAnsi"/>
              <w:sz w:val="22"/>
              <w:lang w:val="fi-FI" w:eastAsia="fi-FI"/>
            </w:rPr>
          </w:pPr>
          <w:r>
            <w:fldChar w:fldCharType="begin"/>
          </w:r>
          <w:r w:rsidR="00267FF7" w:rsidRPr="00072E02">
            <w:rPr>
              <w:lang w:val="fi-FI"/>
            </w:rPr>
            <w:instrText xml:space="preserve"> TOC \o "1-3" \h \z \u </w:instrText>
          </w:r>
          <w:r>
            <w:fldChar w:fldCharType="separate"/>
          </w:r>
          <w:hyperlink w:anchor="_Toc513549492" w:history="1">
            <w:r w:rsidR="00C5268A" w:rsidRPr="002F362E">
              <w:rPr>
                <w:rStyle w:val="Hyperlink"/>
              </w:rPr>
              <w:t>1 Opetussuunnitelman  yleisen osa</w:t>
            </w:r>
            <w:r w:rsidR="00C5268A">
              <w:rPr>
                <w:webHidden/>
              </w:rPr>
              <w:tab/>
            </w:r>
            <w:r w:rsidR="00C5268A">
              <w:rPr>
                <w:webHidden/>
              </w:rPr>
              <w:fldChar w:fldCharType="begin"/>
            </w:r>
            <w:r w:rsidR="00C5268A">
              <w:rPr>
                <w:webHidden/>
              </w:rPr>
              <w:instrText xml:space="preserve"> PAGEREF _Toc513549492 \h </w:instrText>
            </w:r>
            <w:r w:rsidR="00C5268A">
              <w:rPr>
                <w:webHidden/>
              </w:rPr>
            </w:r>
            <w:r w:rsidR="00C5268A">
              <w:rPr>
                <w:webHidden/>
              </w:rPr>
              <w:fldChar w:fldCharType="separate"/>
            </w:r>
            <w:r w:rsidR="0004453D">
              <w:rPr>
                <w:webHidden/>
              </w:rPr>
              <w:t>2</w:t>
            </w:r>
            <w:r w:rsidR="00C5268A">
              <w:rPr>
                <w:webHidden/>
              </w:rPr>
              <w:fldChar w:fldCharType="end"/>
            </w:r>
          </w:hyperlink>
        </w:p>
        <w:p w14:paraId="135B0A6D" w14:textId="4E8B130C" w:rsidR="00C5268A" w:rsidRDefault="009F5AAD">
          <w:pPr>
            <w:pStyle w:val="TOC2"/>
            <w:rPr>
              <w:rFonts w:asciiTheme="minorHAnsi" w:hAnsiTheme="minorHAnsi"/>
              <w:sz w:val="22"/>
              <w:lang w:val="fi-FI" w:eastAsia="fi-FI"/>
            </w:rPr>
          </w:pPr>
          <w:hyperlink w:anchor="_Toc513549493" w:history="1">
            <w:r w:rsidR="00C5268A" w:rsidRPr="002F362E">
              <w:rPr>
                <w:rStyle w:val="Hyperlink"/>
              </w:rPr>
              <w:t>1.1 Koulutuksen lähtökohdat</w:t>
            </w:r>
            <w:r w:rsidR="00C5268A">
              <w:rPr>
                <w:webHidden/>
              </w:rPr>
              <w:tab/>
            </w:r>
            <w:r w:rsidR="00C5268A">
              <w:rPr>
                <w:webHidden/>
              </w:rPr>
              <w:fldChar w:fldCharType="begin"/>
            </w:r>
            <w:r w:rsidR="00C5268A">
              <w:rPr>
                <w:webHidden/>
              </w:rPr>
              <w:instrText xml:space="preserve"> PAGEREF _Toc513549493 \h </w:instrText>
            </w:r>
            <w:r w:rsidR="00C5268A">
              <w:rPr>
                <w:webHidden/>
              </w:rPr>
            </w:r>
            <w:r w:rsidR="00C5268A">
              <w:rPr>
                <w:webHidden/>
              </w:rPr>
              <w:fldChar w:fldCharType="separate"/>
            </w:r>
            <w:r w:rsidR="0004453D">
              <w:rPr>
                <w:webHidden/>
              </w:rPr>
              <w:t>2</w:t>
            </w:r>
            <w:r w:rsidR="00C5268A">
              <w:rPr>
                <w:webHidden/>
              </w:rPr>
              <w:fldChar w:fldCharType="end"/>
            </w:r>
          </w:hyperlink>
        </w:p>
        <w:p w14:paraId="26ABC36D" w14:textId="1F94829A" w:rsidR="00C5268A" w:rsidRDefault="009F5AAD">
          <w:pPr>
            <w:pStyle w:val="TOC2"/>
            <w:rPr>
              <w:rFonts w:asciiTheme="minorHAnsi" w:hAnsiTheme="minorHAnsi"/>
              <w:sz w:val="22"/>
              <w:lang w:val="fi-FI" w:eastAsia="fi-FI"/>
            </w:rPr>
          </w:pPr>
          <w:hyperlink w:anchor="_Toc513549494" w:history="1">
            <w:r w:rsidR="00C5268A" w:rsidRPr="002F362E">
              <w:rPr>
                <w:rStyle w:val="Hyperlink"/>
              </w:rPr>
              <w:t>1.2 Osaamistavoitteet</w:t>
            </w:r>
            <w:r w:rsidR="00C5268A">
              <w:rPr>
                <w:webHidden/>
              </w:rPr>
              <w:tab/>
            </w:r>
            <w:r w:rsidR="00C5268A">
              <w:rPr>
                <w:webHidden/>
              </w:rPr>
              <w:fldChar w:fldCharType="begin"/>
            </w:r>
            <w:r w:rsidR="00C5268A">
              <w:rPr>
                <w:webHidden/>
              </w:rPr>
              <w:instrText xml:space="preserve"> PAGEREF _Toc513549494 \h </w:instrText>
            </w:r>
            <w:r w:rsidR="00C5268A">
              <w:rPr>
                <w:webHidden/>
              </w:rPr>
            </w:r>
            <w:r w:rsidR="00C5268A">
              <w:rPr>
                <w:webHidden/>
              </w:rPr>
              <w:fldChar w:fldCharType="separate"/>
            </w:r>
            <w:r w:rsidR="0004453D">
              <w:rPr>
                <w:webHidden/>
              </w:rPr>
              <w:t>3</w:t>
            </w:r>
            <w:r w:rsidR="00C5268A">
              <w:rPr>
                <w:webHidden/>
              </w:rPr>
              <w:fldChar w:fldCharType="end"/>
            </w:r>
          </w:hyperlink>
        </w:p>
        <w:p w14:paraId="2674FF8C" w14:textId="34CFD72F" w:rsidR="00C5268A" w:rsidRDefault="009F5AAD">
          <w:pPr>
            <w:pStyle w:val="TOC2"/>
            <w:rPr>
              <w:rFonts w:asciiTheme="minorHAnsi" w:hAnsiTheme="minorHAnsi"/>
              <w:sz w:val="22"/>
              <w:lang w:val="fi-FI" w:eastAsia="fi-FI"/>
            </w:rPr>
          </w:pPr>
          <w:hyperlink w:anchor="_Toc513549495" w:history="1">
            <w:r w:rsidR="00C5268A" w:rsidRPr="002F362E">
              <w:rPr>
                <w:rStyle w:val="Hyperlink"/>
                <w:rFonts w:eastAsia="Calibri"/>
              </w:rPr>
              <w:t>1.3 Opintojen rakenne</w:t>
            </w:r>
            <w:r w:rsidR="00C5268A">
              <w:rPr>
                <w:webHidden/>
              </w:rPr>
              <w:tab/>
            </w:r>
            <w:r w:rsidR="00C5268A">
              <w:rPr>
                <w:webHidden/>
              </w:rPr>
              <w:fldChar w:fldCharType="begin"/>
            </w:r>
            <w:r w:rsidR="00C5268A">
              <w:rPr>
                <w:webHidden/>
              </w:rPr>
              <w:instrText xml:space="preserve"> PAGEREF _Toc513549495 \h </w:instrText>
            </w:r>
            <w:r w:rsidR="00C5268A">
              <w:rPr>
                <w:webHidden/>
              </w:rPr>
            </w:r>
            <w:r w:rsidR="00C5268A">
              <w:rPr>
                <w:webHidden/>
              </w:rPr>
              <w:fldChar w:fldCharType="separate"/>
            </w:r>
            <w:r w:rsidR="0004453D">
              <w:rPr>
                <w:webHidden/>
              </w:rPr>
              <w:t>7</w:t>
            </w:r>
            <w:r w:rsidR="00C5268A">
              <w:rPr>
                <w:webHidden/>
              </w:rPr>
              <w:fldChar w:fldCharType="end"/>
            </w:r>
          </w:hyperlink>
        </w:p>
        <w:p w14:paraId="717C5441" w14:textId="33BCED41" w:rsidR="00C5268A" w:rsidRDefault="009F5AAD">
          <w:pPr>
            <w:pStyle w:val="TOC2"/>
            <w:rPr>
              <w:rFonts w:asciiTheme="minorHAnsi" w:hAnsiTheme="minorHAnsi"/>
              <w:sz w:val="22"/>
              <w:lang w:val="fi-FI" w:eastAsia="fi-FI"/>
            </w:rPr>
          </w:pPr>
          <w:hyperlink w:anchor="_Toc513549496" w:history="1">
            <w:r w:rsidR="00C5268A" w:rsidRPr="002F362E">
              <w:rPr>
                <w:rStyle w:val="Hyperlink"/>
                <w:rFonts w:eastAsia="Calibri"/>
              </w:rPr>
              <w:t>1.4 Asiantuntijuuden kehittyminen</w:t>
            </w:r>
            <w:r w:rsidR="00C5268A">
              <w:rPr>
                <w:webHidden/>
              </w:rPr>
              <w:tab/>
            </w:r>
            <w:r w:rsidR="00C5268A">
              <w:rPr>
                <w:webHidden/>
              </w:rPr>
              <w:fldChar w:fldCharType="begin"/>
            </w:r>
            <w:r w:rsidR="00C5268A">
              <w:rPr>
                <w:webHidden/>
              </w:rPr>
              <w:instrText xml:space="preserve"> PAGEREF _Toc513549496 \h </w:instrText>
            </w:r>
            <w:r w:rsidR="00C5268A">
              <w:rPr>
                <w:webHidden/>
              </w:rPr>
            </w:r>
            <w:r w:rsidR="00C5268A">
              <w:rPr>
                <w:webHidden/>
              </w:rPr>
              <w:fldChar w:fldCharType="separate"/>
            </w:r>
            <w:r w:rsidR="0004453D">
              <w:rPr>
                <w:webHidden/>
              </w:rPr>
              <w:t>9</w:t>
            </w:r>
            <w:r w:rsidR="00C5268A">
              <w:rPr>
                <w:webHidden/>
              </w:rPr>
              <w:fldChar w:fldCharType="end"/>
            </w:r>
          </w:hyperlink>
        </w:p>
        <w:p w14:paraId="49B93CDF" w14:textId="393D2D20" w:rsidR="00C5268A" w:rsidRDefault="009F5AAD">
          <w:pPr>
            <w:pStyle w:val="TOC2"/>
            <w:rPr>
              <w:rFonts w:asciiTheme="minorHAnsi" w:hAnsiTheme="minorHAnsi"/>
              <w:sz w:val="22"/>
              <w:lang w:val="fi-FI" w:eastAsia="fi-FI"/>
            </w:rPr>
          </w:pPr>
          <w:hyperlink w:anchor="_Toc513549497" w:history="1">
            <w:r w:rsidR="00C5268A" w:rsidRPr="002F362E">
              <w:rPr>
                <w:rStyle w:val="Hyperlink"/>
                <w:rFonts w:eastAsia="Calibri"/>
              </w:rPr>
              <w:t>1.5 Koulutuksen toteutus</w:t>
            </w:r>
            <w:r w:rsidR="00C5268A">
              <w:rPr>
                <w:webHidden/>
              </w:rPr>
              <w:tab/>
            </w:r>
            <w:r w:rsidR="00C5268A">
              <w:rPr>
                <w:webHidden/>
              </w:rPr>
              <w:fldChar w:fldCharType="begin"/>
            </w:r>
            <w:r w:rsidR="00C5268A">
              <w:rPr>
                <w:webHidden/>
              </w:rPr>
              <w:instrText xml:space="preserve"> PAGEREF _Toc513549497 \h </w:instrText>
            </w:r>
            <w:r w:rsidR="00C5268A">
              <w:rPr>
                <w:webHidden/>
              </w:rPr>
            </w:r>
            <w:r w:rsidR="00C5268A">
              <w:rPr>
                <w:webHidden/>
              </w:rPr>
              <w:fldChar w:fldCharType="separate"/>
            </w:r>
            <w:r w:rsidR="0004453D">
              <w:rPr>
                <w:webHidden/>
              </w:rPr>
              <w:t>11</w:t>
            </w:r>
            <w:r w:rsidR="00C5268A">
              <w:rPr>
                <w:webHidden/>
              </w:rPr>
              <w:fldChar w:fldCharType="end"/>
            </w:r>
          </w:hyperlink>
        </w:p>
        <w:p w14:paraId="26F65256" w14:textId="5F2FA4DD" w:rsidR="00896CF6" w:rsidRDefault="0003351A" w:rsidP="008D6A95">
          <w:pPr>
            <w:rPr>
              <w:b/>
              <w:bCs/>
            </w:rPr>
          </w:pPr>
          <w:r>
            <w:rPr>
              <w:b/>
              <w:bCs/>
            </w:rPr>
            <w:fldChar w:fldCharType="end"/>
          </w:r>
        </w:p>
      </w:sdtContent>
    </w:sdt>
    <w:bookmarkStart w:id="1" w:name="_Toc286761644" w:displacedByCustomXml="prev"/>
    <w:p w14:paraId="26F65257" w14:textId="77777777" w:rsidR="00CD2C23" w:rsidRDefault="00896CF6" w:rsidP="00F22D86">
      <w:pPr>
        <w:pStyle w:val="TOC3"/>
      </w:pPr>
      <w:r>
        <w:br w:type="page"/>
      </w:r>
    </w:p>
    <w:p w14:paraId="26F65258" w14:textId="6983B4AB" w:rsidR="00CF590C" w:rsidRPr="00CF590C" w:rsidRDefault="00CF590C" w:rsidP="009E6DE1">
      <w:pPr>
        <w:pStyle w:val="Heading1"/>
      </w:pPr>
      <w:bookmarkStart w:id="2" w:name="_Toc290881659"/>
      <w:bookmarkStart w:id="3" w:name="_Toc513549492"/>
      <w:bookmarkEnd w:id="1"/>
      <w:r w:rsidRPr="00CF590C">
        <w:lastRenderedPageBreak/>
        <w:t xml:space="preserve">1 Opetussuunnitelman </w:t>
      </w:r>
      <w:r w:rsidRPr="00CF590C">
        <w:br/>
        <w:t>yleisen os</w:t>
      </w:r>
      <w:bookmarkEnd w:id="2"/>
      <w:r w:rsidR="00645441">
        <w:t>a</w:t>
      </w:r>
      <w:bookmarkEnd w:id="3"/>
    </w:p>
    <w:p w14:paraId="26F6525A" w14:textId="77777777" w:rsidR="00CF590C" w:rsidRPr="00E0604F" w:rsidRDefault="00CF590C" w:rsidP="00CF590C">
      <w:pPr>
        <w:pStyle w:val="Heading2"/>
        <w:rPr>
          <w:szCs w:val="24"/>
        </w:rPr>
      </w:pPr>
      <w:bookmarkStart w:id="4" w:name="_Toc290881660"/>
      <w:bookmarkStart w:id="5" w:name="_Toc513549493"/>
      <w:r>
        <w:rPr>
          <w:szCs w:val="24"/>
        </w:rPr>
        <w:t xml:space="preserve">1.1 </w:t>
      </w:r>
      <w:r w:rsidRPr="00E0604F">
        <w:rPr>
          <w:szCs w:val="24"/>
        </w:rPr>
        <w:t>Koulutuksen lähtökohdat</w:t>
      </w:r>
      <w:bookmarkEnd w:id="4"/>
      <w:bookmarkEnd w:id="5"/>
      <w:r w:rsidRPr="00E0604F">
        <w:rPr>
          <w:szCs w:val="24"/>
        </w:rPr>
        <w:t xml:space="preserve"> </w:t>
      </w:r>
    </w:p>
    <w:p w14:paraId="1969505A" w14:textId="77777777" w:rsidR="00E463F4" w:rsidRPr="0034643F" w:rsidRDefault="00E463F4" w:rsidP="00E463F4">
      <w:pPr>
        <w:rPr>
          <w:rFonts w:cs="Calibri"/>
        </w:rPr>
      </w:pPr>
      <w:r w:rsidRPr="0034643F">
        <w:rPr>
          <w:rFonts w:cs="Calibri"/>
        </w:rPr>
        <w:t xml:space="preserve">Ilmastonmuutos, ympäristöongelmat ja lisääntyvä energiantarve ovat aikamme suurimpia haasteita. Kansainvälisten ja kansallisten päätösten ja säädösten ajamana energiajärjestelmät ovat voimakkaan kehityksen alla niin teollisessa kuin pienessä kokoluokassa. Näihin haasteisiin ja kehitystarpeisiin energiatekniikan </w:t>
      </w:r>
      <w:r>
        <w:rPr>
          <w:rFonts w:cs="Calibri"/>
        </w:rPr>
        <w:t>tutkinto-ohjelma</w:t>
      </w:r>
      <w:r w:rsidRPr="0034643F">
        <w:rPr>
          <w:rFonts w:cs="Calibri"/>
        </w:rPr>
        <w:t xml:space="preserve"> pyrkii vastaamaan tuottamalla </w:t>
      </w:r>
      <w:r>
        <w:rPr>
          <w:rFonts w:cs="Calibri"/>
        </w:rPr>
        <w:t xml:space="preserve">energiateollisuuteen </w:t>
      </w:r>
      <w:r w:rsidRPr="0034643F">
        <w:rPr>
          <w:rFonts w:cs="Calibri"/>
        </w:rPr>
        <w:t>osaavia insinöörejä.</w:t>
      </w:r>
    </w:p>
    <w:p w14:paraId="7655D061" w14:textId="0942CBA8" w:rsidR="004D652C" w:rsidRDefault="00E463F4" w:rsidP="00E463F4">
      <w:pPr>
        <w:rPr>
          <w:rFonts w:cs="Calibri"/>
        </w:rPr>
      </w:pPr>
      <w:r w:rsidRPr="00E463F4">
        <w:rPr>
          <w:rFonts w:cs="Calibri"/>
        </w:rPr>
        <w:t>Bio</w:t>
      </w:r>
      <w:r>
        <w:rPr>
          <w:rFonts w:cs="Calibri"/>
        </w:rPr>
        <w:t>- ja kiertotalous on voimakkaasti kasvava ala, joka vaatii uudenlaista insinööriosaamista.</w:t>
      </w:r>
      <w:r w:rsidR="00C14AF9">
        <w:rPr>
          <w:rFonts w:cs="Calibri"/>
        </w:rPr>
        <w:t xml:space="preserve"> Käytettävissä olevat koulutukset eivät suoraan sovellu biojalostamoiden ja niiden ympärillä toimiviin teollisiin ekosysteemeihin. </w:t>
      </w:r>
      <w:r w:rsidR="004D652C">
        <w:rPr>
          <w:rFonts w:cs="Calibri"/>
        </w:rPr>
        <w:t>Bio- ja kiertotalouden muuntokoulutus antaa monipuoliset valmiudet työskennellä alan eri tehtävissä. Koulutuksessa käydään läpi prosesseja mekaanisen metsäteollisuuden, biotalouden, kiertotalouden ja prosessitekniikan aloilla toiminnan turvallisuus, taloudellisuus ja ympäristövaikutukset huomioiden. koulutuksesta valmistuva insinööri voi työskennellä mm. sahateollisuuden, puuteollisuuden, kemiallisen puunjalostuksen-, prosessiteollisuuden-, urakoitsijoiden palveluksessa, suunnittelu- ja konsulttitoimistoissa, kunnossapidon yrityksissä ja laitevalmistajien palveluksessa.</w:t>
      </w:r>
    </w:p>
    <w:p w14:paraId="756D8903" w14:textId="04A38974" w:rsidR="004A5EF3" w:rsidRDefault="004A5EF3" w:rsidP="004A5EF3">
      <w:pPr>
        <w:rPr>
          <w:rFonts w:cs="Calibri"/>
        </w:rPr>
      </w:pPr>
      <w:r w:rsidRPr="0034643F">
        <w:rPr>
          <w:rFonts w:cs="Calibri"/>
        </w:rPr>
        <w:t xml:space="preserve">Energiatekniikan </w:t>
      </w:r>
      <w:r>
        <w:rPr>
          <w:rFonts w:cs="Calibri"/>
        </w:rPr>
        <w:t>tutkinto-ohjelma</w:t>
      </w:r>
      <w:r w:rsidRPr="0034643F">
        <w:rPr>
          <w:rFonts w:cs="Calibri"/>
        </w:rPr>
        <w:t xml:space="preserve"> johtaa tekniikan ja liikenteen ammattikorkeakoulututkintoon, tutkintonimike on energiatekniikan insinööri (AMK). </w:t>
      </w:r>
      <w:r w:rsidR="004173B1">
        <w:rPr>
          <w:rFonts w:cs="Calibri"/>
        </w:rPr>
        <w:t>Tutkintolaajuus</w:t>
      </w:r>
      <w:r w:rsidRPr="0034643F">
        <w:rPr>
          <w:rFonts w:cs="Calibri"/>
        </w:rPr>
        <w:t xml:space="preserve"> on 240 opintopistettä. Tutkinnon tuottama osaaminen vastaa Euroopan unionin alueella yhteisesti määriteltyä korkeakoulutasoa, mikä mahdollistaa työvoiman ja asiantuntijoiden liikkumisen.</w:t>
      </w:r>
    </w:p>
    <w:p w14:paraId="33D9F56B" w14:textId="2C78955F" w:rsidR="004A5EF3" w:rsidRDefault="004A5EF3" w:rsidP="004A5EF3">
      <w:pPr>
        <w:rPr>
          <w:rFonts w:cs="Calibri"/>
        </w:rPr>
      </w:pPr>
      <w:r>
        <w:rPr>
          <w:rFonts w:cs="Calibri"/>
        </w:rPr>
        <w:t>Muuntokoulutuksen toteutuslaajuus on 60-120 opintopistettä. Koulutus kestää 1-2</w:t>
      </w:r>
      <w:r w:rsidR="004173B1">
        <w:rPr>
          <w:rFonts w:cs="Calibri"/>
        </w:rPr>
        <w:t xml:space="preserve"> </w:t>
      </w:r>
      <w:r>
        <w:rPr>
          <w:rFonts w:cs="Calibri"/>
        </w:rPr>
        <w:t xml:space="preserve">vuotta aikaisemmista opinnoista ja työhistoriasta riippuen. </w:t>
      </w:r>
    </w:p>
    <w:p w14:paraId="4B6EBC6F" w14:textId="63FCF8EF" w:rsidR="002D110F" w:rsidRDefault="004173B1" w:rsidP="002D110F">
      <w:pPr>
        <w:widowControl w:val="0"/>
        <w:spacing w:line="240" w:lineRule="auto"/>
        <w:rPr>
          <w:rFonts w:ascii="Arial" w:hAnsi="Arial"/>
          <w:szCs w:val="22"/>
        </w:rPr>
      </w:pPr>
      <w:r>
        <w:rPr>
          <w:rFonts w:cs="Calibri"/>
        </w:rPr>
        <w:t>Koulutus järjestetään</w:t>
      </w:r>
      <w:r w:rsidR="00105F99">
        <w:rPr>
          <w:rFonts w:cs="Calibri"/>
        </w:rPr>
        <w:t xml:space="preserve"> Savonia-, Kajaanin-, Karelia-</w:t>
      </w:r>
      <w:r>
        <w:rPr>
          <w:rFonts w:cs="Calibri"/>
        </w:rPr>
        <w:t>, Centria</w:t>
      </w:r>
      <w:r w:rsidR="00105F99">
        <w:rPr>
          <w:rFonts w:cs="Calibri"/>
        </w:rPr>
        <w:t>-</w:t>
      </w:r>
      <w:r>
        <w:rPr>
          <w:rFonts w:cs="Calibri"/>
        </w:rPr>
        <w:t xml:space="preserve"> ja Lapin ammattikorkeakoulujen yhteistyönä. Koulutus toteutetaan monimuotokoulutuksena hyödyntäen aktiivisesti erilaiset verkko-opiskelumahdollisuudet.</w:t>
      </w:r>
      <w:r w:rsidR="002D110F">
        <w:rPr>
          <w:rFonts w:cs="Calibri"/>
        </w:rPr>
        <w:t xml:space="preserve"> </w:t>
      </w:r>
      <w:r w:rsidR="002D110F">
        <w:t>Ammattikorkeakoulut tuottavat opintoja</w:t>
      </w:r>
      <w:r w:rsidR="00105F99">
        <w:t>ksoja</w:t>
      </w:r>
      <w:r w:rsidR="002D110F">
        <w:t xml:space="preserve"> bio- ja kiertotalouden muuntokoulutuksen t</w:t>
      </w:r>
      <w:r w:rsidR="00105F99">
        <w:t xml:space="preserve">arjottimelle, josta </w:t>
      </w:r>
      <w:r w:rsidR="002D110F">
        <w:t>valitsemalla opiskelijat voivat suunnata opintojaan tutkintotavoitteiden mukaisesti.</w:t>
      </w:r>
    </w:p>
    <w:p w14:paraId="2907279E" w14:textId="3D784253" w:rsidR="004173B1" w:rsidRPr="00E463F4" w:rsidRDefault="004173B1" w:rsidP="004A5EF3">
      <w:pPr>
        <w:rPr>
          <w:rFonts w:cs="Calibri"/>
        </w:rPr>
      </w:pPr>
    </w:p>
    <w:p w14:paraId="4D024D30" w14:textId="77777777" w:rsidR="00CF590C" w:rsidRPr="00E0604F" w:rsidRDefault="00CF590C" w:rsidP="00CF590C">
      <w:pPr>
        <w:pStyle w:val="Heading2"/>
      </w:pPr>
      <w:r w:rsidRPr="00E463F4">
        <w:br w:type="page"/>
      </w:r>
      <w:bookmarkStart w:id="6" w:name="_Toc290881661"/>
      <w:bookmarkStart w:id="7" w:name="_Toc513549494"/>
      <w:r>
        <w:lastRenderedPageBreak/>
        <w:t xml:space="preserve">1.2 </w:t>
      </w:r>
      <w:r w:rsidRPr="00E0604F">
        <w:t>Osaamistavoitteet</w:t>
      </w:r>
      <w:bookmarkEnd w:id="6"/>
      <w:bookmarkEnd w:id="7"/>
    </w:p>
    <w:p w14:paraId="4C56AB9C" w14:textId="77777777" w:rsidR="00522F8F" w:rsidRPr="00DE142F" w:rsidRDefault="00522F8F" w:rsidP="00522F8F">
      <w:pPr>
        <w:rPr>
          <w:rFonts w:cs="Calibri"/>
        </w:rPr>
      </w:pPr>
      <w:r w:rsidRPr="00DE142F">
        <w:rPr>
          <w:rFonts w:cs="Calibri"/>
        </w:rPr>
        <w:t xml:space="preserve">Energiatekniikan insinöörin </w:t>
      </w:r>
      <w:r w:rsidRPr="00DE142F">
        <w:rPr>
          <w:rFonts w:cs="Calibri"/>
          <w:color w:val="31A3B5"/>
        </w:rPr>
        <w:t>koulutus on eurooppalaista ja suomalaista tasoa 6</w:t>
      </w:r>
      <w:r w:rsidRPr="00DE142F">
        <w:rPr>
          <w:rFonts w:cs="Calibri"/>
        </w:rPr>
        <w:t xml:space="preserve"> (</w:t>
      </w:r>
      <w:hyperlink r:id="rId12" w:history="1">
        <w:r w:rsidRPr="00DE142F">
          <w:rPr>
            <w:rStyle w:val="Hyperlink"/>
            <w:rFonts w:cs="Calibri"/>
            <w:color w:val="C53486"/>
          </w:rPr>
          <w:t>kansallinen viitekehys</w:t>
        </w:r>
      </w:hyperlink>
      <w:r w:rsidRPr="00DE142F">
        <w:rPr>
          <w:rFonts w:cs="Calibri"/>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57"/>
        <w:gridCol w:w="6215"/>
      </w:tblGrid>
      <w:tr w:rsidR="00522F8F" w:rsidRPr="00595FDF" w14:paraId="77116114" w14:textId="77777777" w:rsidTr="00522F8F">
        <w:trPr>
          <w:trHeight w:val="736"/>
        </w:trPr>
        <w:tc>
          <w:tcPr>
            <w:tcW w:w="2457" w:type="dxa"/>
            <w:shd w:val="clear" w:color="auto" w:fill="31A3B5"/>
          </w:tcPr>
          <w:p w14:paraId="270AB850" w14:textId="77777777" w:rsidR="00522F8F" w:rsidRPr="001C70B5" w:rsidRDefault="00522F8F" w:rsidP="005013DC">
            <w:pPr>
              <w:rPr>
                <w:rFonts w:ascii="Tahoma" w:hAnsi="Tahoma" w:cs="Tahoma"/>
                <w:b/>
                <w:color w:val="FFFFFF"/>
                <w:szCs w:val="20"/>
              </w:rPr>
            </w:pPr>
            <w:r w:rsidRPr="001C70B5">
              <w:rPr>
                <w:rFonts w:ascii="Tahoma" w:hAnsi="Tahoma" w:cs="Tahoma"/>
                <w:b/>
                <w:color w:val="FFFFFF"/>
                <w:szCs w:val="20"/>
              </w:rPr>
              <w:t>Osaamisen osa-alue</w:t>
            </w:r>
          </w:p>
        </w:tc>
        <w:tc>
          <w:tcPr>
            <w:tcW w:w="6215" w:type="dxa"/>
            <w:shd w:val="clear" w:color="auto" w:fill="31A3B5"/>
          </w:tcPr>
          <w:p w14:paraId="614D8C6F" w14:textId="77777777" w:rsidR="00522F8F" w:rsidRPr="001C70B5" w:rsidRDefault="00522F8F" w:rsidP="005013DC">
            <w:pPr>
              <w:rPr>
                <w:rFonts w:ascii="Tahoma" w:hAnsi="Tahoma" w:cs="Tahoma"/>
                <w:b/>
                <w:color w:val="FFFFFF"/>
                <w:szCs w:val="20"/>
              </w:rPr>
            </w:pPr>
            <w:r w:rsidRPr="001C70B5">
              <w:rPr>
                <w:rFonts w:ascii="Tahoma" w:hAnsi="Tahoma" w:cs="Tahoma"/>
                <w:b/>
                <w:color w:val="FFFFFF"/>
                <w:szCs w:val="20"/>
              </w:rPr>
              <w:t>Osaaminen tasolla 6</w:t>
            </w:r>
          </w:p>
        </w:tc>
      </w:tr>
      <w:tr w:rsidR="00522F8F" w:rsidRPr="00595FDF" w14:paraId="617EEC7E" w14:textId="77777777" w:rsidTr="00522F8F">
        <w:trPr>
          <w:trHeight w:val="1302"/>
        </w:trPr>
        <w:tc>
          <w:tcPr>
            <w:tcW w:w="2457" w:type="dxa"/>
          </w:tcPr>
          <w:p w14:paraId="70C6258A" w14:textId="77777777" w:rsidR="00522F8F" w:rsidRPr="001C70B5" w:rsidRDefault="00522F8F" w:rsidP="005013DC">
            <w:pPr>
              <w:rPr>
                <w:rFonts w:ascii="Tahoma" w:hAnsi="Tahoma" w:cs="Tahoma"/>
                <w:b/>
                <w:szCs w:val="20"/>
              </w:rPr>
            </w:pPr>
            <w:r w:rsidRPr="001C70B5">
              <w:rPr>
                <w:rFonts w:ascii="Tahoma" w:hAnsi="Tahoma" w:cs="Tahoma"/>
                <w:b/>
                <w:szCs w:val="20"/>
              </w:rPr>
              <w:t>Tieto</w:t>
            </w:r>
          </w:p>
        </w:tc>
        <w:tc>
          <w:tcPr>
            <w:tcW w:w="6215" w:type="dxa"/>
          </w:tcPr>
          <w:p w14:paraId="7C9B00E9" w14:textId="77777777" w:rsidR="00522F8F" w:rsidRPr="001C70B5" w:rsidRDefault="00522F8F" w:rsidP="005013DC">
            <w:pPr>
              <w:rPr>
                <w:rFonts w:ascii="Tahoma" w:hAnsi="Tahoma" w:cs="Tahoma"/>
                <w:b/>
                <w:szCs w:val="20"/>
              </w:rPr>
            </w:pPr>
            <w:r w:rsidRPr="001C70B5">
              <w:rPr>
                <w:rFonts w:ascii="Tahoma" w:hAnsi="Tahoma" w:cs="Tahoma"/>
                <w:szCs w:val="20"/>
              </w:rPr>
              <w:t>Energiatekniikan insinööri hallitsee laaja-alaiset ja edistyneet energia-alan tiedot, joihin liittyy teorioiden, keskeisten käsitteiden, menetelmien ja periaatteiden kriittinen ymmärtäminen ja arviointi. Hän ymmärtää energia-alan kattavuuden ja rajat.</w:t>
            </w:r>
          </w:p>
        </w:tc>
      </w:tr>
      <w:tr w:rsidR="00522F8F" w:rsidRPr="00595FDF" w14:paraId="58D1A830" w14:textId="77777777" w:rsidTr="00522F8F">
        <w:trPr>
          <w:trHeight w:val="1258"/>
        </w:trPr>
        <w:tc>
          <w:tcPr>
            <w:tcW w:w="2457" w:type="dxa"/>
          </w:tcPr>
          <w:p w14:paraId="5D4395BB" w14:textId="77777777" w:rsidR="00522F8F" w:rsidRPr="001C70B5" w:rsidRDefault="00522F8F" w:rsidP="005013DC">
            <w:pPr>
              <w:rPr>
                <w:rFonts w:ascii="Tahoma" w:hAnsi="Tahoma" w:cs="Tahoma"/>
                <w:b/>
                <w:szCs w:val="20"/>
              </w:rPr>
            </w:pPr>
            <w:r w:rsidRPr="001C70B5">
              <w:rPr>
                <w:rFonts w:ascii="Tahoma" w:hAnsi="Tahoma" w:cs="Tahoma"/>
                <w:b/>
                <w:szCs w:val="20"/>
              </w:rPr>
              <w:t xml:space="preserve">Työskentelytapa ja </w:t>
            </w:r>
            <w:r w:rsidRPr="001C70B5">
              <w:rPr>
                <w:rFonts w:ascii="Tahoma" w:hAnsi="Tahoma" w:cs="Tahoma"/>
                <w:b/>
                <w:szCs w:val="20"/>
              </w:rPr>
              <w:br/>
              <w:t>soveltaminen (taito)</w:t>
            </w:r>
          </w:p>
        </w:tc>
        <w:tc>
          <w:tcPr>
            <w:tcW w:w="6215" w:type="dxa"/>
          </w:tcPr>
          <w:p w14:paraId="04D41FB9" w14:textId="77777777" w:rsidR="00522F8F" w:rsidRPr="001C70B5" w:rsidRDefault="00522F8F" w:rsidP="005013DC">
            <w:pPr>
              <w:rPr>
                <w:rFonts w:ascii="Tahoma" w:hAnsi="Tahoma" w:cs="Tahoma"/>
                <w:b/>
                <w:szCs w:val="20"/>
              </w:rPr>
            </w:pPr>
            <w:r w:rsidRPr="001C70B5">
              <w:rPr>
                <w:rFonts w:ascii="Tahoma" w:hAnsi="Tahoma" w:cs="Tahoma"/>
                <w:szCs w:val="20"/>
              </w:rPr>
              <w:t>Energiatekniikan insinööri hallitsee edistyneet taidot, jotka osoittavat asioiden hallintaa, kykyä soveltaa ja kykyä luoviin ratkaisuihin, joita vaaditaan energia-alalla monimutkaisten tai ennakoimattomien ongelmien ratkaisemisessa.</w:t>
            </w:r>
          </w:p>
        </w:tc>
      </w:tr>
      <w:tr w:rsidR="00522F8F" w:rsidRPr="00595FDF" w14:paraId="1AF40DD2" w14:textId="77777777" w:rsidTr="00522F8F">
        <w:trPr>
          <w:trHeight w:val="1526"/>
        </w:trPr>
        <w:tc>
          <w:tcPr>
            <w:tcW w:w="2457" w:type="dxa"/>
          </w:tcPr>
          <w:p w14:paraId="7E2E2B2D" w14:textId="77777777" w:rsidR="00522F8F" w:rsidRPr="001C70B5" w:rsidRDefault="00522F8F" w:rsidP="005013DC">
            <w:pPr>
              <w:rPr>
                <w:rFonts w:ascii="Tahoma" w:hAnsi="Tahoma" w:cs="Tahoma"/>
                <w:b/>
                <w:szCs w:val="20"/>
              </w:rPr>
            </w:pPr>
            <w:r w:rsidRPr="001C70B5">
              <w:rPr>
                <w:rFonts w:ascii="Tahoma" w:hAnsi="Tahoma" w:cs="Tahoma"/>
                <w:b/>
                <w:szCs w:val="20"/>
              </w:rPr>
              <w:t xml:space="preserve">Vastuu, johtaminen, </w:t>
            </w:r>
            <w:r w:rsidRPr="001C70B5">
              <w:rPr>
                <w:rFonts w:ascii="Tahoma" w:hAnsi="Tahoma" w:cs="Tahoma"/>
                <w:b/>
                <w:szCs w:val="20"/>
              </w:rPr>
              <w:br/>
              <w:t>yrittäjyys</w:t>
            </w:r>
          </w:p>
        </w:tc>
        <w:tc>
          <w:tcPr>
            <w:tcW w:w="6215" w:type="dxa"/>
          </w:tcPr>
          <w:p w14:paraId="4C3B5336" w14:textId="77777777" w:rsidR="00522F8F" w:rsidRPr="001C70B5" w:rsidRDefault="00522F8F" w:rsidP="005013DC">
            <w:pPr>
              <w:rPr>
                <w:rFonts w:ascii="Tahoma" w:hAnsi="Tahoma" w:cs="Tahoma"/>
                <w:b/>
                <w:szCs w:val="20"/>
              </w:rPr>
            </w:pPr>
            <w:r w:rsidRPr="001C70B5">
              <w:rPr>
                <w:rFonts w:ascii="Tahoma" w:hAnsi="Tahoma" w:cs="Tahoma"/>
                <w:szCs w:val="20"/>
              </w:rPr>
              <w:t>Energiatekniikan insinööri kykenee johtamaan monimutkaisia ammatillisia toimia tai hankkeita ja työskentelemään energia-alan asiantuntijatehtävissä. Hän kykenee päätöksentekoon ennakoimattomissa toimintaympäristöissä. Energiatekniikan insinöörillä on perusvalmiudet toimia alan yrittäjänä.</w:t>
            </w:r>
          </w:p>
        </w:tc>
      </w:tr>
      <w:tr w:rsidR="00522F8F" w:rsidRPr="00595FDF" w14:paraId="6027A117" w14:textId="77777777" w:rsidTr="00522F8F">
        <w:trPr>
          <w:trHeight w:val="977"/>
        </w:trPr>
        <w:tc>
          <w:tcPr>
            <w:tcW w:w="2457" w:type="dxa"/>
          </w:tcPr>
          <w:p w14:paraId="1FC2E48B" w14:textId="77777777" w:rsidR="00522F8F" w:rsidRPr="001C70B5" w:rsidRDefault="00522F8F" w:rsidP="005013DC">
            <w:pPr>
              <w:rPr>
                <w:rFonts w:ascii="Tahoma" w:hAnsi="Tahoma" w:cs="Tahoma"/>
                <w:b/>
                <w:szCs w:val="20"/>
              </w:rPr>
            </w:pPr>
            <w:r w:rsidRPr="001C70B5">
              <w:rPr>
                <w:rFonts w:ascii="Tahoma" w:hAnsi="Tahoma" w:cs="Tahoma"/>
                <w:b/>
                <w:szCs w:val="20"/>
              </w:rPr>
              <w:t>Arviointi</w:t>
            </w:r>
          </w:p>
        </w:tc>
        <w:tc>
          <w:tcPr>
            <w:tcW w:w="6215" w:type="dxa"/>
          </w:tcPr>
          <w:p w14:paraId="12C66544" w14:textId="77777777" w:rsidR="00522F8F" w:rsidRPr="001C70B5" w:rsidRDefault="00522F8F" w:rsidP="005013DC">
            <w:pPr>
              <w:rPr>
                <w:rFonts w:ascii="Tahoma" w:hAnsi="Tahoma" w:cs="Tahoma"/>
                <w:b/>
                <w:szCs w:val="20"/>
              </w:rPr>
            </w:pPr>
            <w:r w:rsidRPr="001C70B5">
              <w:rPr>
                <w:rFonts w:ascii="Tahoma" w:hAnsi="Tahoma" w:cs="Tahoma"/>
                <w:szCs w:val="20"/>
              </w:rPr>
              <w:t>Energiatekniikan insinööri kykenee vastaamaan oman osaamisensa arvioinnin ja kehittämisen lisäksi yksittäisten henkilöiden ja ryhmien kehittämisestä.</w:t>
            </w:r>
          </w:p>
        </w:tc>
      </w:tr>
      <w:tr w:rsidR="00522F8F" w:rsidRPr="00595FDF" w14:paraId="4CCEE5BD" w14:textId="77777777" w:rsidTr="00522F8F">
        <w:trPr>
          <w:trHeight w:val="1526"/>
        </w:trPr>
        <w:tc>
          <w:tcPr>
            <w:tcW w:w="2457" w:type="dxa"/>
          </w:tcPr>
          <w:p w14:paraId="6B5BE2D1" w14:textId="77777777" w:rsidR="00522F8F" w:rsidRPr="001C70B5" w:rsidRDefault="00522F8F" w:rsidP="005013DC">
            <w:pPr>
              <w:rPr>
                <w:rFonts w:ascii="Tahoma" w:hAnsi="Tahoma" w:cs="Tahoma"/>
                <w:b/>
                <w:szCs w:val="20"/>
              </w:rPr>
            </w:pPr>
            <w:r w:rsidRPr="001C70B5">
              <w:rPr>
                <w:rFonts w:ascii="Tahoma" w:hAnsi="Tahoma" w:cs="Tahoma"/>
                <w:b/>
                <w:szCs w:val="20"/>
              </w:rPr>
              <w:t xml:space="preserve">Elinikäisen oppimisen </w:t>
            </w:r>
            <w:r w:rsidRPr="001C70B5">
              <w:rPr>
                <w:rFonts w:ascii="Tahoma" w:hAnsi="Tahoma" w:cs="Tahoma"/>
                <w:b/>
                <w:szCs w:val="20"/>
              </w:rPr>
              <w:br/>
              <w:t>avaintaidot</w:t>
            </w:r>
          </w:p>
        </w:tc>
        <w:tc>
          <w:tcPr>
            <w:tcW w:w="6215" w:type="dxa"/>
          </w:tcPr>
          <w:p w14:paraId="3F19689B" w14:textId="77777777" w:rsidR="00522F8F" w:rsidRPr="001C70B5" w:rsidRDefault="00522F8F" w:rsidP="005013DC">
            <w:pPr>
              <w:rPr>
                <w:rFonts w:ascii="Tahoma" w:hAnsi="Tahoma" w:cs="Tahoma"/>
                <w:szCs w:val="20"/>
              </w:rPr>
            </w:pPr>
            <w:r w:rsidRPr="001C70B5">
              <w:rPr>
                <w:rFonts w:ascii="Tahoma" w:hAnsi="Tahoma" w:cs="Tahoma"/>
                <w:szCs w:val="20"/>
              </w:rPr>
              <w:t xml:space="preserve">Energiatekniikan insinöörillä on valmius jatkuvaan oppimiseen. Hän osaa viestiä suullisesti ja kirjallisesti sekä energia-alan että alan ulkopuoliselle yleisölle. Hän kykenee itsenäiseen kansainväliseen viestintään ja vuorovaikutukseen ruotsin ja englannin (/saksan) kielellä. </w:t>
            </w:r>
          </w:p>
        </w:tc>
      </w:tr>
    </w:tbl>
    <w:p w14:paraId="044F9859" w14:textId="7C5E8464" w:rsidR="00522F8F" w:rsidRPr="00DE142F" w:rsidRDefault="00522F8F" w:rsidP="00522F8F">
      <w:pPr>
        <w:rPr>
          <w:rFonts w:cs="Calibri"/>
        </w:rPr>
      </w:pPr>
      <w:r w:rsidRPr="00DE142F">
        <w:rPr>
          <w:rFonts w:cs="Calibri"/>
        </w:rPr>
        <w:t xml:space="preserve">Osaamistavoitteet energiatekniikan </w:t>
      </w:r>
      <w:r>
        <w:rPr>
          <w:rFonts w:cs="Calibri"/>
        </w:rPr>
        <w:t>tutkinto-ohjelma</w:t>
      </w:r>
      <w:r w:rsidRPr="00DE142F">
        <w:rPr>
          <w:rFonts w:cs="Calibri"/>
        </w:rPr>
        <w:t xml:space="preserve">ssa määräytyvät energiainsinöörien työelämän osaamistarpeiden mukaan. Perus- ja </w:t>
      </w:r>
      <w:r>
        <w:rPr>
          <w:rFonts w:cs="Calibri"/>
        </w:rPr>
        <w:t>tutkinto-ohjelma</w:t>
      </w:r>
      <w:r w:rsidRPr="00DE142F">
        <w:rPr>
          <w:rFonts w:cs="Calibri"/>
        </w:rPr>
        <w:t xml:space="preserve">kohtaiset ammattiopinnot ovat kaikille yhteisiä ja antavat laaja-alaiset perusvalmiudet tekniseen perusosaamiseen, suunnittelu- ja konealaosaamiseen, energia-alaosaamiseen sekä prosessi- ja </w:t>
      </w:r>
      <w:r w:rsidRPr="00A90DB9">
        <w:rPr>
          <w:rFonts w:cs="Calibri"/>
        </w:rPr>
        <w:t xml:space="preserve">instrumentointiosaamiseen. Bio- ja kiertotalouden suuntautumisen kautta syvennetään osaamista </w:t>
      </w:r>
      <w:r w:rsidR="00617C97" w:rsidRPr="00A90DB9">
        <w:rPr>
          <w:rFonts w:cs="Calibri"/>
        </w:rPr>
        <w:t>biotuotetuntemukseen, biotalouden prosesseihin sekä kiertotalouden osa-alueisiin.</w:t>
      </w:r>
      <w:r w:rsidR="00617C97">
        <w:rPr>
          <w:rFonts w:cs="Calibri"/>
        </w:rPr>
        <w:t xml:space="preserve"> </w:t>
      </w:r>
    </w:p>
    <w:p w14:paraId="26F65264" w14:textId="254BA45C" w:rsidR="00CF590C" w:rsidRDefault="00617C97" w:rsidP="00522F8F">
      <w:pPr>
        <w:rPr>
          <w:rFonts w:cs="Calibri"/>
        </w:rPr>
      </w:pPr>
      <w:r>
        <w:rPr>
          <w:rFonts w:cs="Calibri"/>
        </w:rPr>
        <w:t>Energiatekniikan insinöörin osaamisprofiili muodostuu seuraa</w:t>
      </w:r>
      <w:r w:rsidR="00DE5F78">
        <w:rPr>
          <w:rFonts w:cs="Calibri"/>
        </w:rPr>
        <w:t>vista yleisistä kompetensseista:</w:t>
      </w:r>
    </w:p>
    <w:p w14:paraId="4950A7CF" w14:textId="78D97BF7" w:rsidR="00DE5F78" w:rsidRDefault="00DE5F78" w:rsidP="00522F8F">
      <w:pPr>
        <w:rPr>
          <w:rFonts w:cs="Calibri"/>
        </w:rPr>
      </w:pPr>
    </w:p>
    <w:p w14:paraId="4A75B87A" w14:textId="77777777" w:rsidR="00DE5F78" w:rsidRDefault="00DE5F78" w:rsidP="00522F8F">
      <w:pPr>
        <w:rPr>
          <w:rFonts w:cs="Calibri"/>
        </w:rPr>
      </w:pPr>
    </w:p>
    <w:tbl>
      <w:tblPr>
        <w:tblW w:w="9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7"/>
        <w:gridCol w:w="6658"/>
      </w:tblGrid>
      <w:tr w:rsidR="00617C97" w:rsidRPr="009F5AAD" w14:paraId="16D9806D" w14:textId="77777777" w:rsidTr="005013DC">
        <w:trPr>
          <w:trHeight w:val="127"/>
        </w:trPr>
        <w:tc>
          <w:tcPr>
            <w:tcW w:w="2937" w:type="dxa"/>
            <w:shd w:val="clear" w:color="auto" w:fill="31A3B5"/>
          </w:tcPr>
          <w:p w14:paraId="51FB1BF8" w14:textId="77777777" w:rsidR="00617C97" w:rsidRPr="00FC0FD7" w:rsidRDefault="00617C97" w:rsidP="005013DC">
            <w:pPr>
              <w:rPr>
                <w:rFonts w:ascii="Tahoma" w:hAnsi="Tahoma" w:cs="Tahoma"/>
                <w:b/>
                <w:color w:val="FFFFFF"/>
                <w:szCs w:val="20"/>
              </w:rPr>
            </w:pPr>
            <w:r w:rsidRPr="00FC0FD7">
              <w:rPr>
                <w:rFonts w:ascii="Tahoma" w:hAnsi="Tahoma" w:cs="Tahoma"/>
                <w:b/>
                <w:color w:val="FFFFFF"/>
                <w:szCs w:val="20"/>
              </w:rPr>
              <w:t>Yleiset kompetenssit</w:t>
            </w:r>
          </w:p>
          <w:p w14:paraId="296CCC57" w14:textId="77777777" w:rsidR="00617C97" w:rsidRPr="00FC0FD7" w:rsidRDefault="00617C97" w:rsidP="005013DC">
            <w:pPr>
              <w:jc w:val="both"/>
              <w:rPr>
                <w:rFonts w:ascii="Tahoma" w:hAnsi="Tahoma" w:cs="Tahoma"/>
                <w:color w:val="FFFFFF"/>
                <w:szCs w:val="20"/>
              </w:rPr>
            </w:pPr>
            <w:r w:rsidRPr="00FC0FD7">
              <w:rPr>
                <w:rFonts w:ascii="Tahoma" w:hAnsi="Tahoma" w:cs="Tahoma"/>
                <w:color w:val="FFFFFF"/>
                <w:szCs w:val="20"/>
              </w:rPr>
              <w:t>(</w:t>
            </w:r>
            <w:r w:rsidRPr="00FC0FD7">
              <w:rPr>
                <w:rFonts w:ascii="Tahoma" w:hAnsi="Tahoma" w:cs="Tahoma"/>
                <w:i/>
                <w:color w:val="FFFFFF"/>
                <w:szCs w:val="20"/>
              </w:rPr>
              <w:t>generic competences</w:t>
            </w:r>
            <w:r w:rsidRPr="00FC0FD7">
              <w:rPr>
                <w:rFonts w:ascii="Tahoma" w:hAnsi="Tahoma" w:cs="Tahoma"/>
                <w:color w:val="FFFFFF"/>
                <w:szCs w:val="20"/>
              </w:rPr>
              <w:t>)</w:t>
            </w:r>
          </w:p>
        </w:tc>
        <w:tc>
          <w:tcPr>
            <w:tcW w:w="6658" w:type="dxa"/>
            <w:shd w:val="clear" w:color="auto" w:fill="31A3B5"/>
          </w:tcPr>
          <w:p w14:paraId="4DE7F7E0" w14:textId="77777777" w:rsidR="00617C97" w:rsidRPr="00FC0FD7" w:rsidRDefault="00617C97" w:rsidP="005013DC">
            <w:pPr>
              <w:jc w:val="both"/>
              <w:rPr>
                <w:rFonts w:ascii="Tahoma" w:hAnsi="Tahoma" w:cs="Tahoma"/>
                <w:b/>
                <w:color w:val="FFFFFF"/>
                <w:szCs w:val="20"/>
                <w:lang w:val="en-US"/>
              </w:rPr>
            </w:pPr>
            <w:r w:rsidRPr="00FC0FD7">
              <w:rPr>
                <w:rFonts w:ascii="Tahoma" w:hAnsi="Tahoma" w:cs="Tahoma"/>
                <w:b/>
                <w:color w:val="FFFFFF"/>
                <w:szCs w:val="20"/>
                <w:lang w:val="en-US"/>
              </w:rPr>
              <w:t>Osaamisen kuvaus</w:t>
            </w:r>
          </w:p>
          <w:p w14:paraId="571D3726" w14:textId="77777777" w:rsidR="00617C97" w:rsidRPr="00FC0FD7" w:rsidRDefault="00617C97" w:rsidP="005013DC">
            <w:pPr>
              <w:jc w:val="both"/>
              <w:rPr>
                <w:rFonts w:ascii="Tahoma" w:hAnsi="Tahoma" w:cs="Tahoma"/>
                <w:color w:val="FFFFFF"/>
                <w:szCs w:val="20"/>
                <w:lang w:val="en-GB"/>
              </w:rPr>
            </w:pPr>
            <w:r w:rsidRPr="00FC0FD7">
              <w:rPr>
                <w:rFonts w:ascii="Tahoma" w:hAnsi="Tahoma" w:cs="Tahoma"/>
                <w:color w:val="FFFFFF"/>
                <w:szCs w:val="20"/>
                <w:lang w:val="en-US"/>
              </w:rPr>
              <w:t>(</w:t>
            </w:r>
            <w:r w:rsidRPr="00FC0FD7">
              <w:rPr>
                <w:rFonts w:ascii="Tahoma" w:hAnsi="Tahoma" w:cs="Tahoma"/>
                <w:i/>
                <w:color w:val="FFFFFF"/>
                <w:szCs w:val="20"/>
                <w:lang w:val="en-US"/>
              </w:rPr>
              <w:t>description of the competence</w:t>
            </w:r>
            <w:r w:rsidRPr="00FC0FD7">
              <w:rPr>
                <w:rFonts w:ascii="Tahoma" w:hAnsi="Tahoma" w:cs="Tahoma"/>
                <w:color w:val="FFFFFF"/>
                <w:szCs w:val="20"/>
                <w:lang w:val="en-US"/>
              </w:rPr>
              <w:t>)</w:t>
            </w:r>
          </w:p>
        </w:tc>
      </w:tr>
      <w:tr w:rsidR="00617C97" w:rsidRPr="00EA5B5F" w14:paraId="3AB228FA" w14:textId="77777777" w:rsidTr="005013DC">
        <w:trPr>
          <w:trHeight w:val="127"/>
        </w:trPr>
        <w:tc>
          <w:tcPr>
            <w:tcW w:w="2937" w:type="dxa"/>
          </w:tcPr>
          <w:p w14:paraId="3120A459" w14:textId="77777777" w:rsidR="00617C97" w:rsidRPr="00FC0FD7" w:rsidRDefault="00617C97" w:rsidP="005013DC">
            <w:pPr>
              <w:rPr>
                <w:rFonts w:ascii="Tahoma" w:hAnsi="Tahoma" w:cs="Tahoma"/>
                <w:b/>
                <w:szCs w:val="20"/>
              </w:rPr>
            </w:pPr>
            <w:r w:rsidRPr="00FC0FD7">
              <w:rPr>
                <w:rFonts w:ascii="Tahoma" w:hAnsi="Tahoma" w:cs="Tahoma"/>
                <w:b/>
                <w:szCs w:val="20"/>
              </w:rPr>
              <w:t>Oppimisen taidot</w:t>
            </w:r>
          </w:p>
          <w:p w14:paraId="4C4DC080" w14:textId="77777777" w:rsidR="00617C97" w:rsidRPr="00FC0FD7" w:rsidRDefault="00617C97" w:rsidP="005013DC">
            <w:pPr>
              <w:ind w:left="12"/>
              <w:rPr>
                <w:rFonts w:ascii="Tahoma" w:hAnsi="Tahoma" w:cs="Tahoma"/>
                <w:szCs w:val="20"/>
              </w:rPr>
            </w:pPr>
            <w:r w:rsidRPr="00FC0FD7">
              <w:rPr>
                <w:rFonts w:ascii="Tahoma" w:hAnsi="Tahoma" w:cs="Tahoma"/>
                <w:szCs w:val="20"/>
              </w:rPr>
              <w:t>(</w:t>
            </w:r>
            <w:r w:rsidRPr="00FC0FD7">
              <w:rPr>
                <w:rFonts w:ascii="Tahoma" w:hAnsi="Tahoma" w:cs="Tahoma"/>
                <w:i/>
                <w:szCs w:val="20"/>
              </w:rPr>
              <w:t>Learning competence</w:t>
            </w:r>
            <w:r w:rsidRPr="00FC0FD7">
              <w:rPr>
                <w:rFonts w:ascii="Tahoma" w:hAnsi="Tahoma" w:cs="Tahoma"/>
                <w:szCs w:val="20"/>
              </w:rPr>
              <w:t>)</w:t>
            </w:r>
          </w:p>
        </w:tc>
        <w:tc>
          <w:tcPr>
            <w:tcW w:w="6658" w:type="dxa"/>
          </w:tcPr>
          <w:p w14:paraId="5DDEC3FE" w14:textId="77777777" w:rsidR="00617C97" w:rsidRPr="00FC0FD7" w:rsidRDefault="00617C97" w:rsidP="00154012">
            <w:pPr>
              <w:numPr>
                <w:ilvl w:val="0"/>
                <w:numId w:val="4"/>
              </w:numPr>
              <w:tabs>
                <w:tab w:val="clear" w:pos="720"/>
                <w:tab w:val="num" w:pos="252"/>
              </w:tabs>
              <w:spacing w:before="0" w:after="0" w:line="240" w:lineRule="auto"/>
              <w:ind w:left="252" w:hanging="252"/>
              <w:rPr>
                <w:rFonts w:ascii="Tahoma" w:hAnsi="Tahoma" w:cs="Tahoma"/>
                <w:szCs w:val="20"/>
              </w:rPr>
            </w:pPr>
            <w:r w:rsidRPr="00FC0FD7">
              <w:rPr>
                <w:rFonts w:ascii="Tahoma" w:hAnsi="Tahoma" w:cs="Tahoma"/>
                <w:szCs w:val="20"/>
              </w:rPr>
              <w:t>osaa hankkia ja käsitellä tietoa sekä kykenee kriittiseen tiedon arviointiin ja kokonaisuuksien hahmottamiseen</w:t>
            </w:r>
          </w:p>
          <w:p w14:paraId="4611CAC7" w14:textId="77777777" w:rsidR="00617C97" w:rsidRPr="00FC0FD7" w:rsidRDefault="00617C97" w:rsidP="00154012">
            <w:pPr>
              <w:numPr>
                <w:ilvl w:val="0"/>
                <w:numId w:val="4"/>
              </w:numPr>
              <w:tabs>
                <w:tab w:val="clear" w:pos="720"/>
                <w:tab w:val="num" w:pos="252"/>
              </w:tabs>
              <w:spacing w:before="0" w:after="0" w:line="240" w:lineRule="auto"/>
              <w:ind w:left="252" w:hanging="252"/>
              <w:rPr>
                <w:rFonts w:ascii="Tahoma" w:hAnsi="Tahoma" w:cs="Tahoma"/>
                <w:szCs w:val="20"/>
              </w:rPr>
            </w:pPr>
            <w:r w:rsidRPr="00FC0FD7">
              <w:rPr>
                <w:rFonts w:ascii="Tahoma" w:hAnsi="Tahoma" w:cs="Tahoma"/>
                <w:szCs w:val="20"/>
              </w:rPr>
              <w:t xml:space="preserve">osaa arvioida omaa osaamistaan ja määritellä osaamisensa kehittämistarpeita </w:t>
            </w:r>
          </w:p>
          <w:p w14:paraId="339D1686" w14:textId="77777777" w:rsidR="00617C97" w:rsidRPr="00FC0FD7" w:rsidRDefault="00617C97" w:rsidP="00154012">
            <w:pPr>
              <w:numPr>
                <w:ilvl w:val="0"/>
                <w:numId w:val="4"/>
              </w:numPr>
              <w:tabs>
                <w:tab w:val="clear" w:pos="720"/>
                <w:tab w:val="num" w:pos="252"/>
              </w:tabs>
              <w:spacing w:before="0" w:after="0" w:line="240" w:lineRule="auto"/>
              <w:ind w:left="252" w:hanging="252"/>
              <w:rPr>
                <w:rFonts w:ascii="Tahoma" w:hAnsi="Tahoma" w:cs="Tahoma"/>
                <w:szCs w:val="20"/>
              </w:rPr>
            </w:pPr>
            <w:r w:rsidRPr="00FC0FD7">
              <w:rPr>
                <w:rFonts w:ascii="Tahoma" w:hAnsi="Tahoma" w:cs="Tahoma"/>
                <w:szCs w:val="20"/>
              </w:rPr>
              <w:t>tunnistaa oman oppimistapansa ja kykenee itseohjautuvaan ja tavoitteelliseen elinikäiseen oppimiseen</w:t>
            </w:r>
          </w:p>
          <w:p w14:paraId="2C75F18A" w14:textId="77777777" w:rsidR="00617C97" w:rsidRPr="00FC0FD7" w:rsidRDefault="00617C97" w:rsidP="00154012">
            <w:pPr>
              <w:numPr>
                <w:ilvl w:val="0"/>
                <w:numId w:val="4"/>
              </w:numPr>
              <w:tabs>
                <w:tab w:val="clear" w:pos="720"/>
                <w:tab w:val="num" w:pos="252"/>
              </w:tabs>
              <w:spacing w:before="0" w:after="0" w:line="240" w:lineRule="auto"/>
              <w:ind w:left="252" w:hanging="252"/>
              <w:rPr>
                <w:rFonts w:ascii="Tahoma" w:hAnsi="Tahoma" w:cs="Tahoma"/>
                <w:szCs w:val="20"/>
              </w:rPr>
            </w:pPr>
            <w:r w:rsidRPr="00FC0FD7">
              <w:rPr>
                <w:rFonts w:ascii="Tahoma" w:hAnsi="Tahoma" w:cs="Tahoma"/>
                <w:szCs w:val="20"/>
              </w:rPr>
              <w:t>kykenee toisilta oppimiseen ja opitun jakamiseen työyhteisössä</w:t>
            </w:r>
          </w:p>
          <w:p w14:paraId="43C01353" w14:textId="77777777" w:rsidR="00617C97" w:rsidRPr="00FC0FD7" w:rsidRDefault="00617C97" w:rsidP="00154012">
            <w:pPr>
              <w:numPr>
                <w:ilvl w:val="0"/>
                <w:numId w:val="4"/>
              </w:numPr>
              <w:tabs>
                <w:tab w:val="clear" w:pos="720"/>
                <w:tab w:val="num" w:pos="252"/>
              </w:tabs>
              <w:spacing w:before="0" w:after="0" w:line="240" w:lineRule="auto"/>
              <w:ind w:left="252" w:hanging="252"/>
              <w:rPr>
                <w:rFonts w:ascii="Tahoma" w:hAnsi="Tahoma" w:cs="Tahoma"/>
                <w:szCs w:val="20"/>
              </w:rPr>
            </w:pPr>
            <w:r w:rsidRPr="00FC0FD7">
              <w:rPr>
                <w:rFonts w:ascii="Tahoma" w:hAnsi="Tahoma" w:cs="Tahoma"/>
                <w:szCs w:val="20"/>
              </w:rPr>
              <w:t xml:space="preserve">osaa suunnitella ja organisoida omaa toimintaansa </w:t>
            </w:r>
          </w:p>
        </w:tc>
      </w:tr>
      <w:tr w:rsidR="00617C97" w:rsidRPr="00EA5B5F" w14:paraId="1833E12B" w14:textId="77777777" w:rsidTr="005013DC">
        <w:trPr>
          <w:trHeight w:val="127"/>
        </w:trPr>
        <w:tc>
          <w:tcPr>
            <w:tcW w:w="2937" w:type="dxa"/>
          </w:tcPr>
          <w:p w14:paraId="5FDABFC8" w14:textId="77777777" w:rsidR="00617C97" w:rsidRPr="00FC0FD7" w:rsidRDefault="00617C97" w:rsidP="005013DC">
            <w:pPr>
              <w:rPr>
                <w:rFonts w:ascii="Tahoma" w:hAnsi="Tahoma" w:cs="Tahoma"/>
                <w:b/>
                <w:szCs w:val="20"/>
              </w:rPr>
            </w:pPr>
            <w:r w:rsidRPr="00FC0FD7">
              <w:rPr>
                <w:rFonts w:ascii="Tahoma" w:hAnsi="Tahoma" w:cs="Tahoma"/>
                <w:b/>
                <w:szCs w:val="20"/>
              </w:rPr>
              <w:t>Eettinen osaaminen</w:t>
            </w:r>
          </w:p>
          <w:p w14:paraId="65FC4800" w14:textId="77777777" w:rsidR="00617C97" w:rsidRPr="00FC0FD7" w:rsidRDefault="00617C97" w:rsidP="005013DC">
            <w:pPr>
              <w:ind w:left="12"/>
              <w:rPr>
                <w:rFonts w:ascii="Tahoma" w:hAnsi="Tahoma" w:cs="Tahoma"/>
                <w:szCs w:val="20"/>
              </w:rPr>
            </w:pPr>
            <w:r w:rsidRPr="00FC0FD7">
              <w:rPr>
                <w:rFonts w:ascii="Tahoma" w:hAnsi="Tahoma" w:cs="Tahoma"/>
                <w:szCs w:val="20"/>
              </w:rPr>
              <w:t>(</w:t>
            </w:r>
            <w:r w:rsidRPr="00FC0FD7">
              <w:rPr>
                <w:rFonts w:ascii="Tahoma" w:hAnsi="Tahoma" w:cs="Tahoma"/>
                <w:i/>
                <w:szCs w:val="20"/>
              </w:rPr>
              <w:t>Ethical competence</w:t>
            </w:r>
            <w:r w:rsidRPr="00FC0FD7">
              <w:rPr>
                <w:rFonts w:ascii="Tahoma" w:hAnsi="Tahoma" w:cs="Tahoma"/>
                <w:szCs w:val="20"/>
              </w:rPr>
              <w:t>)</w:t>
            </w:r>
          </w:p>
        </w:tc>
        <w:tc>
          <w:tcPr>
            <w:tcW w:w="6658" w:type="dxa"/>
          </w:tcPr>
          <w:p w14:paraId="1A631ADE" w14:textId="77777777" w:rsidR="00617C97" w:rsidRPr="00FC0FD7" w:rsidRDefault="00617C97" w:rsidP="00154012">
            <w:pPr>
              <w:numPr>
                <w:ilvl w:val="0"/>
                <w:numId w:val="5"/>
              </w:numPr>
              <w:tabs>
                <w:tab w:val="clear" w:pos="720"/>
                <w:tab w:val="num" w:pos="252"/>
              </w:tabs>
              <w:spacing w:before="0" w:after="0" w:line="240" w:lineRule="auto"/>
              <w:ind w:left="252" w:hanging="252"/>
              <w:rPr>
                <w:rFonts w:ascii="Tahoma" w:hAnsi="Tahoma" w:cs="Tahoma"/>
                <w:szCs w:val="20"/>
              </w:rPr>
            </w:pPr>
            <w:r w:rsidRPr="00FC0FD7">
              <w:rPr>
                <w:rFonts w:ascii="Tahoma" w:hAnsi="Tahoma" w:cs="Tahoma"/>
                <w:szCs w:val="20"/>
              </w:rPr>
              <w:t>tuntee oman alansa arvoperustan ja ammattieettiset periaatteet ja osaa huomioida ne ihmissuhde- ja päätöksentekotilanteissa</w:t>
            </w:r>
          </w:p>
          <w:p w14:paraId="670A7B95" w14:textId="77777777" w:rsidR="00617C97" w:rsidRPr="00FC0FD7" w:rsidRDefault="00617C97" w:rsidP="00154012">
            <w:pPr>
              <w:numPr>
                <w:ilvl w:val="0"/>
                <w:numId w:val="5"/>
              </w:numPr>
              <w:tabs>
                <w:tab w:val="clear" w:pos="720"/>
                <w:tab w:val="num" w:pos="252"/>
              </w:tabs>
              <w:spacing w:before="0" w:after="0" w:line="240" w:lineRule="auto"/>
              <w:ind w:left="252" w:hanging="252"/>
              <w:rPr>
                <w:rFonts w:ascii="Tahoma" w:hAnsi="Tahoma" w:cs="Tahoma"/>
                <w:szCs w:val="20"/>
              </w:rPr>
            </w:pPr>
            <w:r w:rsidRPr="00FC0FD7">
              <w:rPr>
                <w:rFonts w:ascii="Tahoma" w:hAnsi="Tahoma" w:cs="Tahoma"/>
                <w:szCs w:val="20"/>
              </w:rPr>
              <w:t>ymmärtää kestävän kehityksen ekologiset, taloudelliset ja sosiaalis-kulttuuriset periaatteet ja osaa soveltaa niitä omassa toiminnassaan</w:t>
            </w:r>
          </w:p>
        </w:tc>
      </w:tr>
      <w:tr w:rsidR="00617C97" w:rsidRPr="00EA5B5F" w14:paraId="13613478" w14:textId="77777777" w:rsidTr="005013DC">
        <w:trPr>
          <w:trHeight w:val="127"/>
        </w:trPr>
        <w:tc>
          <w:tcPr>
            <w:tcW w:w="2937" w:type="dxa"/>
          </w:tcPr>
          <w:p w14:paraId="1951E087" w14:textId="77777777" w:rsidR="00617C97" w:rsidRPr="00FC0FD7" w:rsidRDefault="00617C97" w:rsidP="005013DC">
            <w:pPr>
              <w:rPr>
                <w:rFonts w:ascii="Tahoma" w:hAnsi="Tahoma" w:cs="Tahoma"/>
                <w:b/>
                <w:szCs w:val="20"/>
                <w:lang w:val="en-US"/>
              </w:rPr>
            </w:pPr>
            <w:r w:rsidRPr="00FC0FD7">
              <w:rPr>
                <w:rFonts w:ascii="Tahoma" w:hAnsi="Tahoma" w:cs="Tahoma"/>
                <w:b/>
                <w:szCs w:val="20"/>
                <w:lang w:val="en-US"/>
              </w:rPr>
              <w:t>Työyhteisöosaaminen</w:t>
            </w:r>
          </w:p>
          <w:p w14:paraId="751F4D78" w14:textId="77777777" w:rsidR="00617C97" w:rsidRPr="00FC0FD7" w:rsidRDefault="00617C97" w:rsidP="005013DC">
            <w:pPr>
              <w:ind w:left="12"/>
              <w:rPr>
                <w:rFonts w:ascii="Tahoma" w:hAnsi="Tahoma" w:cs="Tahoma"/>
                <w:szCs w:val="20"/>
                <w:lang w:val="en-US"/>
              </w:rPr>
            </w:pPr>
            <w:r w:rsidRPr="00FC0FD7">
              <w:rPr>
                <w:rFonts w:ascii="Tahoma" w:hAnsi="Tahoma" w:cs="Tahoma"/>
                <w:szCs w:val="20"/>
                <w:lang w:val="en-US"/>
              </w:rPr>
              <w:t>(</w:t>
            </w:r>
            <w:r w:rsidRPr="00FC0FD7">
              <w:rPr>
                <w:rFonts w:ascii="Tahoma" w:hAnsi="Tahoma" w:cs="Tahoma"/>
                <w:i/>
                <w:szCs w:val="20"/>
                <w:lang w:val="en-US"/>
              </w:rPr>
              <w:t>Communication and social competence</w:t>
            </w:r>
            <w:r w:rsidRPr="00FC0FD7">
              <w:rPr>
                <w:rFonts w:ascii="Tahoma" w:hAnsi="Tahoma" w:cs="Tahoma"/>
                <w:szCs w:val="20"/>
                <w:lang w:val="en-US"/>
              </w:rPr>
              <w:t>)</w:t>
            </w:r>
          </w:p>
          <w:p w14:paraId="4CEBD7CC" w14:textId="77777777" w:rsidR="00617C97" w:rsidRPr="00FC0FD7" w:rsidRDefault="00617C97" w:rsidP="005013DC">
            <w:pPr>
              <w:ind w:left="12"/>
              <w:rPr>
                <w:rFonts w:ascii="Tahoma" w:hAnsi="Tahoma" w:cs="Tahoma"/>
                <w:i/>
                <w:szCs w:val="20"/>
                <w:lang w:val="en-US"/>
              </w:rPr>
            </w:pPr>
          </w:p>
        </w:tc>
        <w:tc>
          <w:tcPr>
            <w:tcW w:w="6658" w:type="dxa"/>
          </w:tcPr>
          <w:p w14:paraId="0EC299D5" w14:textId="77777777" w:rsidR="00617C97" w:rsidRPr="00FC0FD7" w:rsidRDefault="00617C97" w:rsidP="00154012">
            <w:pPr>
              <w:numPr>
                <w:ilvl w:val="0"/>
                <w:numId w:val="6"/>
              </w:numPr>
              <w:tabs>
                <w:tab w:val="clear" w:pos="720"/>
                <w:tab w:val="num" w:pos="252"/>
              </w:tabs>
              <w:spacing w:before="0" w:after="0" w:line="240" w:lineRule="auto"/>
              <w:ind w:left="252" w:hanging="252"/>
              <w:rPr>
                <w:rFonts w:ascii="Tahoma" w:hAnsi="Tahoma" w:cs="Tahoma"/>
                <w:szCs w:val="20"/>
              </w:rPr>
            </w:pPr>
            <w:r w:rsidRPr="00FC0FD7">
              <w:rPr>
                <w:rFonts w:ascii="Tahoma" w:hAnsi="Tahoma" w:cs="Tahoma"/>
                <w:szCs w:val="20"/>
              </w:rPr>
              <w:t xml:space="preserve">omaa yhden kotimaisen kielen erinomaisen ja toisen kotimaisen kielen vähintään tyydyttävän taidon (A352/2003) </w:t>
            </w:r>
          </w:p>
          <w:p w14:paraId="5A94495C" w14:textId="77777777" w:rsidR="00617C97" w:rsidRPr="00FC0FD7" w:rsidRDefault="00617C97" w:rsidP="00154012">
            <w:pPr>
              <w:numPr>
                <w:ilvl w:val="0"/>
                <w:numId w:val="6"/>
              </w:numPr>
              <w:tabs>
                <w:tab w:val="clear" w:pos="720"/>
                <w:tab w:val="num" w:pos="252"/>
              </w:tabs>
              <w:spacing w:before="0" w:after="0" w:line="240" w:lineRule="auto"/>
              <w:ind w:left="252" w:hanging="252"/>
              <w:rPr>
                <w:rFonts w:ascii="Tahoma" w:hAnsi="Tahoma" w:cs="Tahoma"/>
                <w:szCs w:val="20"/>
              </w:rPr>
            </w:pPr>
            <w:r w:rsidRPr="00FC0FD7">
              <w:rPr>
                <w:rFonts w:ascii="Tahoma" w:hAnsi="Tahoma" w:cs="Tahoma"/>
                <w:szCs w:val="20"/>
              </w:rPr>
              <w:t xml:space="preserve">kykenee toisten kuuntelemiseen sekä asioiden kirjalliseen, suulliseen ja visuaaliseen esittämiseen </w:t>
            </w:r>
          </w:p>
          <w:p w14:paraId="05CF251E" w14:textId="77777777" w:rsidR="00617C97" w:rsidRPr="00FC0FD7" w:rsidRDefault="00617C97" w:rsidP="00154012">
            <w:pPr>
              <w:numPr>
                <w:ilvl w:val="0"/>
                <w:numId w:val="6"/>
              </w:numPr>
              <w:tabs>
                <w:tab w:val="clear" w:pos="720"/>
                <w:tab w:val="num" w:pos="252"/>
              </w:tabs>
              <w:spacing w:before="0" w:after="0" w:line="240" w:lineRule="auto"/>
              <w:ind w:left="252" w:hanging="252"/>
              <w:rPr>
                <w:rFonts w:ascii="Tahoma" w:hAnsi="Tahoma" w:cs="Tahoma"/>
                <w:szCs w:val="20"/>
              </w:rPr>
            </w:pPr>
            <w:r w:rsidRPr="00FC0FD7">
              <w:rPr>
                <w:rFonts w:ascii="Tahoma" w:hAnsi="Tahoma" w:cs="Tahoma"/>
                <w:szCs w:val="20"/>
              </w:rPr>
              <w:t>osaa toimia kokous- ja neuvottelutilanteissa</w:t>
            </w:r>
          </w:p>
          <w:p w14:paraId="76CFA971" w14:textId="77777777" w:rsidR="00617C97" w:rsidRPr="00FC0FD7" w:rsidRDefault="00617C97" w:rsidP="00154012">
            <w:pPr>
              <w:numPr>
                <w:ilvl w:val="0"/>
                <w:numId w:val="6"/>
              </w:numPr>
              <w:tabs>
                <w:tab w:val="clear" w:pos="720"/>
                <w:tab w:val="num" w:pos="252"/>
              </w:tabs>
              <w:spacing w:before="0" w:after="0" w:line="240" w:lineRule="auto"/>
              <w:ind w:left="252" w:hanging="252"/>
              <w:rPr>
                <w:rFonts w:ascii="Tahoma" w:hAnsi="Tahoma" w:cs="Tahoma"/>
                <w:szCs w:val="20"/>
              </w:rPr>
            </w:pPr>
            <w:r w:rsidRPr="00FC0FD7">
              <w:rPr>
                <w:rFonts w:ascii="Tahoma" w:hAnsi="Tahoma" w:cs="Tahoma"/>
                <w:szCs w:val="20"/>
              </w:rPr>
              <w:t>ymmärtää ryhmä- ja tiimityöskentelyn periaatteet ja osaa työskennellä yhdessä toisten kanssa</w:t>
            </w:r>
          </w:p>
          <w:p w14:paraId="17A44113" w14:textId="77777777" w:rsidR="00617C97" w:rsidRPr="00FC0FD7" w:rsidRDefault="00617C97" w:rsidP="00154012">
            <w:pPr>
              <w:numPr>
                <w:ilvl w:val="0"/>
                <w:numId w:val="6"/>
              </w:numPr>
              <w:tabs>
                <w:tab w:val="clear" w:pos="720"/>
                <w:tab w:val="num" w:pos="252"/>
              </w:tabs>
              <w:spacing w:before="0" w:after="0" w:line="240" w:lineRule="auto"/>
              <w:ind w:left="252" w:hanging="252"/>
              <w:rPr>
                <w:rFonts w:ascii="Tahoma" w:hAnsi="Tahoma" w:cs="Tahoma"/>
                <w:szCs w:val="20"/>
              </w:rPr>
            </w:pPr>
            <w:r w:rsidRPr="00FC0FD7">
              <w:rPr>
                <w:rFonts w:ascii="Tahoma" w:hAnsi="Tahoma" w:cs="Tahoma"/>
                <w:szCs w:val="20"/>
              </w:rPr>
              <w:t>osaa hyödyntää tieto- ja viestintätekniikan mahdollisuuksia omassa toiminnassaan</w:t>
            </w:r>
          </w:p>
        </w:tc>
      </w:tr>
      <w:tr w:rsidR="00617C97" w:rsidRPr="00EA5B5F" w14:paraId="0B3D79FC" w14:textId="77777777" w:rsidTr="005013DC">
        <w:trPr>
          <w:trHeight w:val="127"/>
        </w:trPr>
        <w:tc>
          <w:tcPr>
            <w:tcW w:w="2937" w:type="dxa"/>
          </w:tcPr>
          <w:p w14:paraId="1326ACC6" w14:textId="77777777" w:rsidR="00617C97" w:rsidRPr="00FC0FD7" w:rsidRDefault="00617C97" w:rsidP="005013DC">
            <w:pPr>
              <w:rPr>
                <w:rFonts w:ascii="Tahoma" w:hAnsi="Tahoma" w:cs="Tahoma"/>
                <w:b/>
                <w:szCs w:val="20"/>
              </w:rPr>
            </w:pPr>
            <w:r w:rsidRPr="00FC0FD7">
              <w:rPr>
                <w:rFonts w:ascii="Tahoma" w:hAnsi="Tahoma" w:cs="Tahoma"/>
                <w:b/>
                <w:szCs w:val="20"/>
              </w:rPr>
              <w:t>Innovaatio-osaaminen</w:t>
            </w:r>
          </w:p>
          <w:p w14:paraId="4DBEDEDA" w14:textId="77777777" w:rsidR="00617C97" w:rsidRPr="00FC0FD7" w:rsidRDefault="00617C97" w:rsidP="005013DC">
            <w:pPr>
              <w:rPr>
                <w:rFonts w:ascii="Tahoma" w:hAnsi="Tahoma" w:cs="Tahoma"/>
                <w:szCs w:val="20"/>
              </w:rPr>
            </w:pPr>
            <w:r w:rsidRPr="00FC0FD7">
              <w:rPr>
                <w:rFonts w:ascii="Tahoma" w:hAnsi="Tahoma" w:cs="Tahoma"/>
                <w:szCs w:val="20"/>
              </w:rPr>
              <w:t>(</w:t>
            </w:r>
            <w:r w:rsidRPr="00FC0FD7">
              <w:rPr>
                <w:rFonts w:ascii="Tahoma" w:hAnsi="Tahoma" w:cs="Tahoma"/>
                <w:i/>
                <w:szCs w:val="20"/>
              </w:rPr>
              <w:t>Innovation competence</w:t>
            </w:r>
            <w:r w:rsidRPr="00FC0FD7">
              <w:rPr>
                <w:rFonts w:ascii="Tahoma" w:hAnsi="Tahoma" w:cs="Tahoma"/>
                <w:szCs w:val="20"/>
              </w:rPr>
              <w:t>)</w:t>
            </w:r>
          </w:p>
        </w:tc>
        <w:tc>
          <w:tcPr>
            <w:tcW w:w="6658" w:type="dxa"/>
          </w:tcPr>
          <w:p w14:paraId="2E783081" w14:textId="77777777" w:rsidR="00617C97" w:rsidRPr="00FC0FD7" w:rsidRDefault="00617C97" w:rsidP="00154012">
            <w:pPr>
              <w:numPr>
                <w:ilvl w:val="0"/>
                <w:numId w:val="7"/>
              </w:numPr>
              <w:tabs>
                <w:tab w:val="clear" w:pos="720"/>
                <w:tab w:val="num" w:pos="252"/>
              </w:tabs>
              <w:spacing w:before="0" w:after="0" w:line="240" w:lineRule="auto"/>
              <w:ind w:left="252" w:hanging="252"/>
              <w:rPr>
                <w:rFonts w:ascii="Tahoma" w:hAnsi="Tahoma" w:cs="Tahoma"/>
                <w:szCs w:val="20"/>
              </w:rPr>
            </w:pPr>
            <w:r w:rsidRPr="00FC0FD7">
              <w:rPr>
                <w:rFonts w:ascii="Tahoma" w:hAnsi="Tahoma" w:cs="Tahoma"/>
                <w:szCs w:val="20"/>
              </w:rPr>
              <w:t>omaksuu kehittävän ja yritteliään työtavan sekä kykenee luovaan ja innovatiiviseen ongelmanratkaisuun</w:t>
            </w:r>
          </w:p>
          <w:p w14:paraId="53E9A080" w14:textId="77777777" w:rsidR="00617C97" w:rsidRPr="00FC0FD7" w:rsidRDefault="00617C97" w:rsidP="00154012">
            <w:pPr>
              <w:numPr>
                <w:ilvl w:val="0"/>
                <w:numId w:val="7"/>
              </w:numPr>
              <w:tabs>
                <w:tab w:val="clear" w:pos="720"/>
                <w:tab w:val="num" w:pos="252"/>
              </w:tabs>
              <w:spacing w:before="0" w:after="0" w:line="240" w:lineRule="auto"/>
              <w:ind w:left="252" w:hanging="252"/>
              <w:rPr>
                <w:rFonts w:ascii="Tahoma" w:hAnsi="Tahoma" w:cs="Tahoma"/>
                <w:szCs w:val="20"/>
              </w:rPr>
            </w:pPr>
            <w:r w:rsidRPr="00FC0FD7">
              <w:rPr>
                <w:rFonts w:ascii="Tahoma" w:hAnsi="Tahoma" w:cs="Tahoma"/>
                <w:szCs w:val="20"/>
              </w:rPr>
              <w:t>kykenee ennakoimaan muutoksia, sopeutumaan uusiin tilanteisiin sekä havaitsemaan ja hyödyntämään uusia mahdollisuuksia</w:t>
            </w:r>
          </w:p>
          <w:p w14:paraId="44BF2DF5" w14:textId="77777777" w:rsidR="00617C97" w:rsidRPr="00FC0FD7" w:rsidRDefault="00617C97" w:rsidP="00154012">
            <w:pPr>
              <w:numPr>
                <w:ilvl w:val="0"/>
                <w:numId w:val="7"/>
              </w:numPr>
              <w:tabs>
                <w:tab w:val="clear" w:pos="720"/>
                <w:tab w:val="num" w:pos="252"/>
              </w:tabs>
              <w:spacing w:before="0" w:after="0" w:line="240" w:lineRule="auto"/>
              <w:ind w:left="252" w:hanging="252"/>
              <w:rPr>
                <w:rFonts w:ascii="Tahoma" w:hAnsi="Tahoma" w:cs="Tahoma"/>
                <w:szCs w:val="20"/>
              </w:rPr>
            </w:pPr>
            <w:r w:rsidRPr="00FC0FD7">
              <w:rPr>
                <w:rFonts w:ascii="Tahoma" w:hAnsi="Tahoma" w:cs="Tahoma"/>
                <w:szCs w:val="20"/>
              </w:rPr>
              <w:t xml:space="preserve">tuntee projektitoiminnan osa-alueet ja osaa toimia projektitehtävissä </w:t>
            </w:r>
          </w:p>
          <w:p w14:paraId="7552F993" w14:textId="77777777" w:rsidR="00617C97" w:rsidRPr="00FC0FD7" w:rsidRDefault="00617C97" w:rsidP="00154012">
            <w:pPr>
              <w:numPr>
                <w:ilvl w:val="0"/>
                <w:numId w:val="7"/>
              </w:numPr>
              <w:tabs>
                <w:tab w:val="clear" w:pos="720"/>
                <w:tab w:val="num" w:pos="252"/>
              </w:tabs>
              <w:spacing w:before="0" w:after="0" w:line="240" w:lineRule="auto"/>
              <w:ind w:left="252" w:hanging="252"/>
              <w:rPr>
                <w:rFonts w:ascii="Tahoma" w:hAnsi="Tahoma" w:cs="Tahoma"/>
                <w:szCs w:val="20"/>
              </w:rPr>
            </w:pPr>
            <w:r w:rsidRPr="00FC0FD7">
              <w:rPr>
                <w:rFonts w:ascii="Tahoma" w:hAnsi="Tahoma" w:cs="Tahoma"/>
                <w:szCs w:val="20"/>
              </w:rPr>
              <w:t>tuntee tutkimus- ja kehitystoiminnan menetelmiä sekä osaa toteuttaa pienimuotoisia tutkimus- ja kehittämishankkeita</w:t>
            </w:r>
          </w:p>
        </w:tc>
      </w:tr>
      <w:tr w:rsidR="00617C97" w:rsidRPr="00EA5B5F" w14:paraId="29A9565A" w14:textId="77777777" w:rsidTr="005013DC">
        <w:trPr>
          <w:trHeight w:val="127"/>
        </w:trPr>
        <w:tc>
          <w:tcPr>
            <w:tcW w:w="2937" w:type="dxa"/>
          </w:tcPr>
          <w:p w14:paraId="507D7C82" w14:textId="77777777" w:rsidR="00617C97" w:rsidRPr="00FC0FD7" w:rsidRDefault="00617C97" w:rsidP="005013DC">
            <w:pPr>
              <w:rPr>
                <w:rFonts w:ascii="Tahoma" w:hAnsi="Tahoma" w:cs="Tahoma"/>
                <w:b/>
                <w:szCs w:val="20"/>
              </w:rPr>
            </w:pPr>
            <w:r w:rsidRPr="00FC0FD7">
              <w:rPr>
                <w:rFonts w:ascii="Tahoma" w:hAnsi="Tahoma" w:cs="Tahoma"/>
                <w:b/>
                <w:szCs w:val="20"/>
              </w:rPr>
              <w:t>Yhteiskunta- ja organisaatio-osaaminen</w:t>
            </w:r>
          </w:p>
          <w:p w14:paraId="791E5766" w14:textId="77777777" w:rsidR="00617C97" w:rsidRPr="00FC0FD7" w:rsidRDefault="00617C97" w:rsidP="005013DC">
            <w:pPr>
              <w:rPr>
                <w:rFonts w:ascii="Tahoma" w:hAnsi="Tahoma" w:cs="Tahoma"/>
                <w:szCs w:val="20"/>
              </w:rPr>
            </w:pPr>
            <w:r w:rsidRPr="00FC0FD7">
              <w:rPr>
                <w:rFonts w:ascii="Tahoma" w:hAnsi="Tahoma" w:cs="Tahoma"/>
                <w:szCs w:val="20"/>
              </w:rPr>
              <w:t>(</w:t>
            </w:r>
            <w:r w:rsidRPr="00FC0FD7">
              <w:rPr>
                <w:rFonts w:ascii="Tahoma" w:hAnsi="Tahoma" w:cs="Tahoma"/>
                <w:i/>
                <w:szCs w:val="20"/>
              </w:rPr>
              <w:t>Organizational competence</w:t>
            </w:r>
            <w:r w:rsidRPr="00FC0FD7">
              <w:rPr>
                <w:rFonts w:ascii="Tahoma" w:hAnsi="Tahoma" w:cs="Tahoma"/>
                <w:szCs w:val="20"/>
              </w:rPr>
              <w:t>)</w:t>
            </w:r>
          </w:p>
        </w:tc>
        <w:tc>
          <w:tcPr>
            <w:tcW w:w="6658" w:type="dxa"/>
          </w:tcPr>
          <w:p w14:paraId="1C0BCB88" w14:textId="77777777" w:rsidR="00617C97" w:rsidRPr="00FC0FD7" w:rsidRDefault="00617C97" w:rsidP="00154012">
            <w:pPr>
              <w:numPr>
                <w:ilvl w:val="0"/>
                <w:numId w:val="8"/>
              </w:numPr>
              <w:tabs>
                <w:tab w:val="clear" w:pos="720"/>
                <w:tab w:val="num" w:pos="252"/>
              </w:tabs>
              <w:spacing w:before="0" w:after="0" w:line="240" w:lineRule="auto"/>
              <w:ind w:left="252" w:hanging="252"/>
              <w:rPr>
                <w:rFonts w:ascii="Tahoma" w:hAnsi="Tahoma" w:cs="Tahoma"/>
                <w:szCs w:val="20"/>
              </w:rPr>
            </w:pPr>
            <w:r w:rsidRPr="00FC0FD7">
              <w:rPr>
                <w:rFonts w:ascii="Tahoma" w:hAnsi="Tahoma" w:cs="Tahoma"/>
                <w:szCs w:val="20"/>
              </w:rPr>
              <w:t>tuntee oman alansa toimintaympäristön ja toimijat</w:t>
            </w:r>
          </w:p>
          <w:p w14:paraId="0B8BF468" w14:textId="77777777" w:rsidR="00617C97" w:rsidRPr="00FC0FD7" w:rsidRDefault="00617C97" w:rsidP="00154012">
            <w:pPr>
              <w:numPr>
                <w:ilvl w:val="0"/>
                <w:numId w:val="8"/>
              </w:numPr>
              <w:tabs>
                <w:tab w:val="clear" w:pos="720"/>
                <w:tab w:val="num" w:pos="252"/>
              </w:tabs>
              <w:spacing w:before="0" w:after="0" w:line="240" w:lineRule="auto"/>
              <w:ind w:left="252" w:hanging="252"/>
              <w:rPr>
                <w:rFonts w:ascii="Tahoma" w:hAnsi="Tahoma" w:cs="Tahoma"/>
                <w:szCs w:val="20"/>
              </w:rPr>
            </w:pPr>
            <w:r w:rsidRPr="00FC0FD7">
              <w:rPr>
                <w:rFonts w:ascii="Tahoma" w:hAnsi="Tahoma" w:cs="Tahoma"/>
                <w:szCs w:val="20"/>
              </w:rPr>
              <w:t xml:space="preserve">tuntee ja osaa hyödyntää yhteiskunnallisen vaikuttamisen mahdollisuuksia </w:t>
            </w:r>
          </w:p>
          <w:p w14:paraId="132BDEA6" w14:textId="77777777" w:rsidR="00617C97" w:rsidRPr="00FC0FD7" w:rsidRDefault="00617C97" w:rsidP="00154012">
            <w:pPr>
              <w:numPr>
                <w:ilvl w:val="0"/>
                <w:numId w:val="8"/>
              </w:numPr>
              <w:tabs>
                <w:tab w:val="clear" w:pos="720"/>
                <w:tab w:val="num" w:pos="252"/>
              </w:tabs>
              <w:spacing w:before="0" w:after="0" w:line="240" w:lineRule="auto"/>
              <w:ind w:left="252" w:hanging="252"/>
              <w:rPr>
                <w:rFonts w:ascii="Tahoma" w:hAnsi="Tahoma" w:cs="Tahoma"/>
                <w:szCs w:val="20"/>
              </w:rPr>
            </w:pPr>
            <w:r w:rsidRPr="00FC0FD7">
              <w:rPr>
                <w:rFonts w:ascii="Tahoma" w:hAnsi="Tahoma" w:cs="Tahoma"/>
                <w:szCs w:val="20"/>
              </w:rPr>
              <w:t>tuntee organisaatioiden toiminnan ja johtamisen pääperiaatteet</w:t>
            </w:r>
          </w:p>
          <w:p w14:paraId="150947DF" w14:textId="77777777" w:rsidR="00617C97" w:rsidRPr="00FC0FD7" w:rsidRDefault="00617C97" w:rsidP="00154012">
            <w:pPr>
              <w:numPr>
                <w:ilvl w:val="0"/>
                <w:numId w:val="8"/>
              </w:numPr>
              <w:tabs>
                <w:tab w:val="clear" w:pos="720"/>
                <w:tab w:val="num" w:pos="252"/>
              </w:tabs>
              <w:spacing w:before="0" w:after="0" w:line="240" w:lineRule="auto"/>
              <w:ind w:left="252" w:hanging="252"/>
              <w:rPr>
                <w:rFonts w:ascii="Tahoma" w:hAnsi="Tahoma" w:cs="Tahoma"/>
                <w:szCs w:val="20"/>
              </w:rPr>
            </w:pPr>
            <w:r w:rsidRPr="00FC0FD7">
              <w:rPr>
                <w:rFonts w:ascii="Tahoma" w:hAnsi="Tahoma" w:cs="Tahoma"/>
                <w:szCs w:val="20"/>
              </w:rPr>
              <w:t>tuntee työelämän pelisäännöt ja osaa toimia osana työyhteisöä</w:t>
            </w:r>
          </w:p>
          <w:p w14:paraId="2016E704" w14:textId="77777777" w:rsidR="00617C97" w:rsidRPr="00FC0FD7" w:rsidRDefault="00617C97" w:rsidP="00154012">
            <w:pPr>
              <w:numPr>
                <w:ilvl w:val="0"/>
                <w:numId w:val="8"/>
              </w:numPr>
              <w:tabs>
                <w:tab w:val="clear" w:pos="720"/>
                <w:tab w:val="num" w:pos="252"/>
              </w:tabs>
              <w:spacing w:before="0" w:after="0" w:line="240" w:lineRule="auto"/>
              <w:ind w:left="252" w:hanging="252"/>
              <w:rPr>
                <w:rFonts w:ascii="Tahoma" w:hAnsi="Tahoma" w:cs="Tahoma"/>
                <w:szCs w:val="20"/>
              </w:rPr>
            </w:pPr>
            <w:r w:rsidRPr="00FC0FD7">
              <w:rPr>
                <w:rFonts w:ascii="Tahoma" w:hAnsi="Tahoma" w:cs="Tahoma"/>
                <w:szCs w:val="20"/>
              </w:rPr>
              <w:t>osaa tehdä ratkaisuja sekä suunnitella ja organisoida toimintaa käytännön tilanteissa</w:t>
            </w:r>
          </w:p>
        </w:tc>
      </w:tr>
      <w:tr w:rsidR="00617C97" w:rsidRPr="00EA5B5F" w14:paraId="24599D33" w14:textId="77777777" w:rsidTr="005013DC">
        <w:trPr>
          <w:trHeight w:val="127"/>
        </w:trPr>
        <w:tc>
          <w:tcPr>
            <w:tcW w:w="2937" w:type="dxa"/>
          </w:tcPr>
          <w:p w14:paraId="606282A0" w14:textId="77777777" w:rsidR="00617C97" w:rsidRPr="00FC0FD7" w:rsidRDefault="00617C97" w:rsidP="005013DC">
            <w:pPr>
              <w:ind w:left="12"/>
              <w:rPr>
                <w:rFonts w:ascii="Tahoma" w:hAnsi="Tahoma" w:cs="Tahoma"/>
                <w:b/>
                <w:szCs w:val="20"/>
              </w:rPr>
            </w:pPr>
            <w:r w:rsidRPr="00FC0FD7">
              <w:rPr>
                <w:rFonts w:ascii="Tahoma" w:hAnsi="Tahoma" w:cs="Tahoma"/>
                <w:b/>
                <w:szCs w:val="20"/>
              </w:rPr>
              <w:t>Kansainvälisyysosaaminen</w:t>
            </w:r>
          </w:p>
          <w:p w14:paraId="3E3A1C5A" w14:textId="77777777" w:rsidR="00617C97" w:rsidRPr="00FC0FD7" w:rsidRDefault="00617C97" w:rsidP="005013DC">
            <w:pPr>
              <w:ind w:left="12"/>
              <w:rPr>
                <w:rFonts w:ascii="Tahoma" w:hAnsi="Tahoma" w:cs="Tahoma"/>
                <w:szCs w:val="20"/>
              </w:rPr>
            </w:pPr>
            <w:r w:rsidRPr="00FC0FD7">
              <w:rPr>
                <w:rFonts w:ascii="Tahoma" w:hAnsi="Tahoma" w:cs="Tahoma"/>
                <w:szCs w:val="20"/>
              </w:rPr>
              <w:t>(</w:t>
            </w:r>
            <w:r w:rsidRPr="00FC0FD7">
              <w:rPr>
                <w:rFonts w:ascii="Tahoma" w:hAnsi="Tahoma" w:cs="Tahoma"/>
                <w:i/>
                <w:szCs w:val="20"/>
              </w:rPr>
              <w:t>International competence</w:t>
            </w:r>
            <w:r w:rsidRPr="00FC0FD7">
              <w:rPr>
                <w:rFonts w:ascii="Tahoma" w:hAnsi="Tahoma" w:cs="Tahoma"/>
                <w:szCs w:val="20"/>
              </w:rPr>
              <w:t>)</w:t>
            </w:r>
          </w:p>
        </w:tc>
        <w:tc>
          <w:tcPr>
            <w:tcW w:w="6658" w:type="dxa"/>
          </w:tcPr>
          <w:p w14:paraId="565E7592" w14:textId="77777777" w:rsidR="00617C97" w:rsidRPr="00FC0FD7" w:rsidRDefault="00617C97" w:rsidP="00154012">
            <w:pPr>
              <w:numPr>
                <w:ilvl w:val="0"/>
                <w:numId w:val="9"/>
              </w:numPr>
              <w:tabs>
                <w:tab w:val="clear" w:pos="720"/>
                <w:tab w:val="num" w:pos="252"/>
              </w:tabs>
              <w:spacing w:before="0" w:after="0" w:line="240" w:lineRule="auto"/>
              <w:ind w:left="252" w:hanging="252"/>
              <w:rPr>
                <w:rFonts w:ascii="Tahoma" w:hAnsi="Tahoma" w:cs="Tahoma"/>
                <w:szCs w:val="20"/>
              </w:rPr>
            </w:pPr>
            <w:r w:rsidRPr="00FC0FD7">
              <w:rPr>
                <w:rFonts w:ascii="Tahoma" w:hAnsi="Tahoma" w:cs="Tahoma"/>
                <w:szCs w:val="20"/>
              </w:rPr>
              <w:t>omaa oman alan työtehtävissä ja niissä kehittymisessä tarvittavan yhden tai kahden vieraan kielen kirjallisen ja suullisen taidon</w:t>
            </w:r>
          </w:p>
          <w:p w14:paraId="00D149D2" w14:textId="77777777" w:rsidR="00617C97" w:rsidRPr="00FC0FD7" w:rsidRDefault="00617C97" w:rsidP="00154012">
            <w:pPr>
              <w:numPr>
                <w:ilvl w:val="0"/>
                <w:numId w:val="9"/>
              </w:numPr>
              <w:tabs>
                <w:tab w:val="clear" w:pos="720"/>
                <w:tab w:val="num" w:pos="252"/>
              </w:tabs>
              <w:spacing w:before="0" w:after="0" w:line="240" w:lineRule="auto"/>
              <w:ind w:left="252" w:hanging="252"/>
              <w:rPr>
                <w:rFonts w:ascii="Tahoma" w:hAnsi="Tahoma" w:cs="Tahoma"/>
                <w:szCs w:val="20"/>
              </w:rPr>
            </w:pPr>
            <w:r w:rsidRPr="00FC0FD7">
              <w:rPr>
                <w:rFonts w:ascii="Tahoma" w:hAnsi="Tahoma" w:cs="Tahoma"/>
                <w:szCs w:val="20"/>
              </w:rPr>
              <w:t xml:space="preserve">tiedostaa ja hyväksyy erilaisten kulttuurien merkityksen ja osaa tehdä yhteistyötä erilaiselta kulttuuritaustalta tulevien henkilöiden kanssa </w:t>
            </w:r>
          </w:p>
          <w:p w14:paraId="7809A05A" w14:textId="77777777" w:rsidR="00617C97" w:rsidRPr="00FC0FD7" w:rsidRDefault="00617C97" w:rsidP="00154012">
            <w:pPr>
              <w:numPr>
                <w:ilvl w:val="0"/>
                <w:numId w:val="9"/>
              </w:numPr>
              <w:tabs>
                <w:tab w:val="clear" w:pos="720"/>
                <w:tab w:val="num" w:pos="252"/>
              </w:tabs>
              <w:spacing w:before="0" w:after="0" w:line="240" w:lineRule="auto"/>
              <w:ind w:left="252" w:hanging="252"/>
              <w:rPr>
                <w:rFonts w:ascii="Tahoma" w:hAnsi="Tahoma" w:cs="Tahoma"/>
                <w:szCs w:val="20"/>
              </w:rPr>
            </w:pPr>
            <w:r w:rsidRPr="00FC0FD7">
              <w:rPr>
                <w:rFonts w:ascii="Tahoma" w:hAnsi="Tahoma" w:cs="Tahoma"/>
                <w:szCs w:val="20"/>
              </w:rPr>
              <w:t>ymmärtää kansainvälisyyskehityksen vaikutuksia ja mahdollisuuksia erityisesti oman ammattialan tulevaisuuden kannalta</w:t>
            </w:r>
          </w:p>
        </w:tc>
      </w:tr>
    </w:tbl>
    <w:p w14:paraId="1978BA76" w14:textId="3E1C34F9" w:rsidR="00617C97" w:rsidRDefault="00617C97" w:rsidP="00617C97">
      <w:pPr>
        <w:rPr>
          <w:rFonts w:cs="Calibri"/>
          <w:sz w:val="22"/>
          <w:szCs w:val="22"/>
        </w:rPr>
      </w:pPr>
      <w:r>
        <w:rPr>
          <w:rFonts w:cs="Calibri"/>
          <w:sz w:val="22"/>
          <w:szCs w:val="22"/>
        </w:rPr>
        <w:t>Bio- ja kiertotalouden muuntokoulutuksesta valmistuvan e</w:t>
      </w:r>
      <w:r w:rsidRPr="007F0A86">
        <w:rPr>
          <w:rFonts w:cs="Calibri"/>
          <w:sz w:val="22"/>
          <w:szCs w:val="22"/>
        </w:rPr>
        <w:t xml:space="preserve">nergiatekniikan insinöörin osaamisprofiili muodostuu </w:t>
      </w:r>
      <w:r>
        <w:rPr>
          <w:rFonts w:cs="Calibri"/>
          <w:sz w:val="22"/>
          <w:szCs w:val="22"/>
        </w:rPr>
        <w:t>lisäksi seuraavista ammatillisista kompetensseista:</w:t>
      </w:r>
    </w:p>
    <w:p w14:paraId="0C8D03BB" w14:textId="03B7FA6A" w:rsidR="00617C97" w:rsidRDefault="00617C97" w:rsidP="00617C97">
      <w:pPr>
        <w:rPr>
          <w:rFonts w:cs="Calibri"/>
          <w:sz w:val="22"/>
          <w:szCs w:val="22"/>
        </w:rPr>
      </w:pPr>
    </w:p>
    <w:p w14:paraId="440E6BE1" w14:textId="77777777" w:rsidR="00617C97" w:rsidRPr="007F0A86" w:rsidRDefault="00617C97" w:rsidP="00617C97">
      <w:pPr>
        <w:rPr>
          <w:rFonts w:cs="Calibri"/>
          <w:sz w:val="22"/>
          <w:szCs w:val="22"/>
        </w:rPr>
      </w:pP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23"/>
        <w:gridCol w:w="152"/>
        <w:gridCol w:w="7190"/>
        <w:gridCol w:w="425"/>
      </w:tblGrid>
      <w:tr w:rsidR="00617C97" w:rsidRPr="001C70B5" w14:paraId="172DEAEE" w14:textId="77777777" w:rsidTr="00617C97">
        <w:tc>
          <w:tcPr>
            <w:tcW w:w="2723" w:type="dxa"/>
            <w:shd w:val="clear" w:color="auto" w:fill="31A3B5"/>
          </w:tcPr>
          <w:p w14:paraId="2D886AEF" w14:textId="77777777" w:rsidR="00617C97" w:rsidRPr="001C70B5" w:rsidRDefault="00617C97" w:rsidP="005013DC">
            <w:pPr>
              <w:rPr>
                <w:rFonts w:ascii="Tahoma" w:hAnsi="Tahoma" w:cs="Tahoma"/>
                <w:color w:val="FFFFFF"/>
                <w:szCs w:val="20"/>
              </w:rPr>
            </w:pPr>
            <w:r w:rsidRPr="001C70B5">
              <w:rPr>
                <w:rFonts w:ascii="Tahoma" w:hAnsi="Tahoma" w:cs="Tahoma"/>
                <w:b/>
                <w:color w:val="FFFFFF"/>
                <w:szCs w:val="20"/>
              </w:rPr>
              <w:t>Energiatekniikan insinöörin  ammatillinen osaaminen</w:t>
            </w:r>
          </w:p>
        </w:tc>
        <w:tc>
          <w:tcPr>
            <w:tcW w:w="7767" w:type="dxa"/>
            <w:gridSpan w:val="3"/>
            <w:shd w:val="clear" w:color="auto" w:fill="31A3B5"/>
          </w:tcPr>
          <w:p w14:paraId="657B0CBE" w14:textId="77777777" w:rsidR="00617C97" w:rsidRPr="001C70B5" w:rsidRDefault="00617C97" w:rsidP="005013DC">
            <w:pPr>
              <w:rPr>
                <w:rFonts w:ascii="Tahoma" w:hAnsi="Tahoma" w:cs="Tahoma"/>
                <w:b/>
                <w:color w:val="FFFFFF"/>
                <w:szCs w:val="20"/>
              </w:rPr>
            </w:pPr>
            <w:r w:rsidRPr="001C70B5">
              <w:rPr>
                <w:rFonts w:ascii="Tahoma" w:hAnsi="Tahoma" w:cs="Tahoma"/>
                <w:b/>
                <w:color w:val="FFFFFF"/>
                <w:szCs w:val="20"/>
              </w:rPr>
              <w:t>Osaamisen</w:t>
            </w:r>
            <w:r w:rsidRPr="001C70B5">
              <w:rPr>
                <w:rFonts w:ascii="Tahoma" w:hAnsi="Tahoma" w:cs="Tahoma"/>
                <w:color w:val="FFFFFF"/>
                <w:szCs w:val="20"/>
              </w:rPr>
              <w:t xml:space="preserve"> </w:t>
            </w:r>
            <w:r w:rsidRPr="001C70B5">
              <w:rPr>
                <w:rFonts w:ascii="Tahoma" w:hAnsi="Tahoma" w:cs="Tahoma"/>
                <w:b/>
                <w:color w:val="FFFFFF"/>
                <w:szCs w:val="20"/>
              </w:rPr>
              <w:t>kuvaus</w:t>
            </w:r>
          </w:p>
          <w:p w14:paraId="3CA4BE86" w14:textId="77777777" w:rsidR="00617C97" w:rsidRPr="001C70B5" w:rsidRDefault="00617C97" w:rsidP="005013DC">
            <w:pPr>
              <w:rPr>
                <w:rFonts w:ascii="Tahoma" w:hAnsi="Tahoma" w:cs="Tahoma"/>
                <w:color w:val="FFFFFF"/>
                <w:szCs w:val="20"/>
              </w:rPr>
            </w:pPr>
          </w:p>
        </w:tc>
      </w:tr>
      <w:tr w:rsidR="00617C97" w:rsidRPr="001C70B5" w14:paraId="5D4E74D7" w14:textId="77777777" w:rsidTr="00617C97">
        <w:tc>
          <w:tcPr>
            <w:tcW w:w="2723" w:type="dxa"/>
          </w:tcPr>
          <w:p w14:paraId="579A748A" w14:textId="77777777" w:rsidR="00617C97" w:rsidRPr="001C70B5" w:rsidRDefault="00617C97" w:rsidP="005013DC">
            <w:pPr>
              <w:rPr>
                <w:rFonts w:ascii="Tahoma" w:hAnsi="Tahoma" w:cs="Tahoma"/>
                <w:b/>
                <w:bCs/>
                <w:szCs w:val="20"/>
              </w:rPr>
            </w:pPr>
            <w:r w:rsidRPr="001C70B5">
              <w:rPr>
                <w:rFonts w:ascii="Tahoma" w:hAnsi="Tahoma" w:cs="Tahoma"/>
                <w:b/>
                <w:bCs/>
                <w:szCs w:val="20"/>
              </w:rPr>
              <w:t>Insinöörin tekninen perusosaaminen</w:t>
            </w:r>
          </w:p>
        </w:tc>
        <w:tc>
          <w:tcPr>
            <w:tcW w:w="7767" w:type="dxa"/>
            <w:gridSpan w:val="3"/>
          </w:tcPr>
          <w:p w14:paraId="5B75C84B" w14:textId="77777777" w:rsidR="00617C97" w:rsidRPr="001C70B5" w:rsidRDefault="00617C97" w:rsidP="00154012">
            <w:pPr>
              <w:numPr>
                <w:ilvl w:val="0"/>
                <w:numId w:val="11"/>
              </w:numPr>
              <w:spacing w:before="0" w:after="0" w:line="240" w:lineRule="auto"/>
              <w:rPr>
                <w:rFonts w:ascii="Tahoma" w:hAnsi="Tahoma" w:cs="Tahoma"/>
                <w:szCs w:val="20"/>
              </w:rPr>
            </w:pPr>
            <w:r w:rsidRPr="001C70B5">
              <w:rPr>
                <w:rFonts w:ascii="Tahoma" w:hAnsi="Tahoma" w:cs="Tahoma"/>
                <w:szCs w:val="20"/>
              </w:rPr>
              <w:t>Osaa hyödyntää matemaattisia menetelmiä ja työkaluja alansa ilmiöiden kuvaamiseen ja ongelmien ratkaisuun</w:t>
            </w:r>
          </w:p>
          <w:p w14:paraId="5091D03E" w14:textId="77777777" w:rsidR="00617C97" w:rsidRPr="001C70B5" w:rsidRDefault="00617C97" w:rsidP="00154012">
            <w:pPr>
              <w:numPr>
                <w:ilvl w:val="0"/>
                <w:numId w:val="11"/>
              </w:numPr>
              <w:spacing w:before="0" w:after="0" w:line="240" w:lineRule="auto"/>
              <w:rPr>
                <w:rFonts w:ascii="Tahoma" w:hAnsi="Tahoma" w:cs="Tahoma"/>
                <w:szCs w:val="20"/>
              </w:rPr>
            </w:pPr>
            <w:r w:rsidRPr="001C70B5">
              <w:rPr>
                <w:rFonts w:ascii="Tahoma" w:hAnsi="Tahoma" w:cs="Tahoma"/>
                <w:szCs w:val="20"/>
              </w:rPr>
              <w:t xml:space="preserve">Ymmärtää alan sovellutuksissa tärkeät fysiikan ja kemian lainalaisuudet, erityisesti termodynaamisten ilmiöiden osalta sekä teknillisessä mekaniikassa </w:t>
            </w:r>
          </w:p>
          <w:p w14:paraId="04EEC30D" w14:textId="77777777" w:rsidR="00617C97" w:rsidRPr="001C70B5" w:rsidRDefault="00617C97" w:rsidP="00154012">
            <w:pPr>
              <w:numPr>
                <w:ilvl w:val="0"/>
                <w:numId w:val="11"/>
              </w:numPr>
              <w:spacing w:before="0" w:after="0" w:line="240" w:lineRule="auto"/>
              <w:rPr>
                <w:rFonts w:ascii="Tahoma" w:hAnsi="Tahoma" w:cs="Tahoma"/>
                <w:szCs w:val="20"/>
              </w:rPr>
            </w:pPr>
            <w:r w:rsidRPr="001C70B5">
              <w:rPr>
                <w:rFonts w:ascii="Tahoma" w:hAnsi="Tahoma" w:cs="Tahoma"/>
                <w:szCs w:val="20"/>
              </w:rPr>
              <w:t>Omaa tietotekniikan perustaidot</w:t>
            </w:r>
          </w:p>
          <w:p w14:paraId="56BD8C1C" w14:textId="77777777" w:rsidR="00617C97" w:rsidRPr="001C70B5" w:rsidRDefault="00617C97" w:rsidP="00154012">
            <w:pPr>
              <w:numPr>
                <w:ilvl w:val="0"/>
                <w:numId w:val="11"/>
              </w:numPr>
              <w:spacing w:before="0" w:after="0" w:line="240" w:lineRule="auto"/>
              <w:rPr>
                <w:rFonts w:ascii="Tahoma" w:hAnsi="Tahoma" w:cs="Tahoma"/>
                <w:szCs w:val="20"/>
              </w:rPr>
            </w:pPr>
            <w:r w:rsidRPr="001C70B5">
              <w:rPr>
                <w:rFonts w:ascii="Tahoma" w:hAnsi="Tahoma" w:cs="Tahoma"/>
                <w:szCs w:val="20"/>
              </w:rPr>
              <w:t>Tuntee yritystalouden ja projektijohtamisen sekä työlainsäädännön perusteet</w:t>
            </w:r>
          </w:p>
          <w:p w14:paraId="40B4E577" w14:textId="77777777" w:rsidR="00617C97" w:rsidRPr="001C70B5" w:rsidRDefault="00617C97" w:rsidP="00154012">
            <w:pPr>
              <w:numPr>
                <w:ilvl w:val="0"/>
                <w:numId w:val="11"/>
              </w:numPr>
              <w:spacing w:before="0" w:after="0" w:line="240" w:lineRule="auto"/>
              <w:rPr>
                <w:rFonts w:ascii="Tahoma" w:hAnsi="Tahoma" w:cs="Tahoma"/>
                <w:szCs w:val="20"/>
              </w:rPr>
            </w:pPr>
            <w:r w:rsidRPr="001C70B5">
              <w:rPr>
                <w:rFonts w:ascii="Tahoma" w:hAnsi="Tahoma" w:cs="Tahoma"/>
                <w:szCs w:val="20"/>
              </w:rPr>
              <w:t xml:space="preserve">Omaa työelämässä tarvittavat perustaidot viestinnässä ja kielissä </w:t>
            </w:r>
          </w:p>
          <w:p w14:paraId="76D3D128" w14:textId="77777777" w:rsidR="00617C97" w:rsidRPr="001C70B5" w:rsidRDefault="00617C97" w:rsidP="00154012">
            <w:pPr>
              <w:numPr>
                <w:ilvl w:val="0"/>
                <w:numId w:val="11"/>
              </w:numPr>
              <w:spacing w:before="0" w:after="0" w:line="240" w:lineRule="auto"/>
              <w:rPr>
                <w:rFonts w:ascii="Tahoma" w:hAnsi="Tahoma" w:cs="Tahoma"/>
                <w:szCs w:val="20"/>
              </w:rPr>
            </w:pPr>
            <w:r w:rsidRPr="001C70B5">
              <w:rPr>
                <w:rFonts w:ascii="Tahoma" w:hAnsi="Tahoma" w:cs="Tahoma"/>
                <w:spacing w:val="5"/>
                <w:szCs w:val="20"/>
              </w:rPr>
              <w:t>Tuntee henkilöstöjohtamisen käytännöt</w:t>
            </w:r>
          </w:p>
          <w:p w14:paraId="370BDDF3" w14:textId="77777777" w:rsidR="00617C97" w:rsidRPr="001C70B5" w:rsidRDefault="00617C97" w:rsidP="00154012">
            <w:pPr>
              <w:numPr>
                <w:ilvl w:val="0"/>
                <w:numId w:val="11"/>
              </w:numPr>
              <w:spacing w:before="0" w:after="0" w:line="240" w:lineRule="auto"/>
              <w:rPr>
                <w:rFonts w:ascii="Tahoma" w:hAnsi="Tahoma" w:cs="Tahoma"/>
                <w:szCs w:val="20"/>
              </w:rPr>
            </w:pPr>
            <w:r w:rsidRPr="001C70B5">
              <w:rPr>
                <w:rFonts w:ascii="Tahoma" w:hAnsi="Tahoma" w:cs="Tahoma"/>
                <w:spacing w:val="5"/>
                <w:szCs w:val="20"/>
              </w:rPr>
              <w:t>Tuntee tietojärjestelmien rakenteiden perusteet</w:t>
            </w:r>
          </w:p>
        </w:tc>
      </w:tr>
      <w:tr w:rsidR="00617C97" w:rsidRPr="001C70B5" w14:paraId="0D48DA24" w14:textId="77777777" w:rsidTr="00617C97">
        <w:trPr>
          <w:trHeight w:val="487"/>
        </w:trPr>
        <w:tc>
          <w:tcPr>
            <w:tcW w:w="2723" w:type="dxa"/>
          </w:tcPr>
          <w:p w14:paraId="25E53379" w14:textId="77777777" w:rsidR="00617C97" w:rsidRPr="001C70B5" w:rsidRDefault="00617C97" w:rsidP="005013DC">
            <w:pPr>
              <w:rPr>
                <w:rFonts w:ascii="Tahoma" w:hAnsi="Tahoma" w:cs="Tahoma"/>
                <w:b/>
                <w:szCs w:val="20"/>
              </w:rPr>
            </w:pPr>
            <w:r w:rsidRPr="001C70B5">
              <w:rPr>
                <w:rFonts w:ascii="Tahoma" w:hAnsi="Tahoma" w:cs="Tahoma"/>
                <w:b/>
                <w:spacing w:val="5"/>
                <w:szCs w:val="20"/>
              </w:rPr>
              <w:t>Suunnittelun ja konealan perusosaaminen</w:t>
            </w:r>
          </w:p>
        </w:tc>
        <w:tc>
          <w:tcPr>
            <w:tcW w:w="7767" w:type="dxa"/>
            <w:gridSpan w:val="3"/>
          </w:tcPr>
          <w:p w14:paraId="64F47ADA" w14:textId="77777777" w:rsidR="00617C97" w:rsidRPr="001C70B5" w:rsidRDefault="00617C97" w:rsidP="00154012">
            <w:pPr>
              <w:pStyle w:val="NormalWeb"/>
              <w:numPr>
                <w:ilvl w:val="0"/>
                <w:numId w:val="11"/>
              </w:numPr>
              <w:spacing w:before="0" w:beforeAutospacing="0" w:after="0" w:afterAutospacing="0"/>
              <w:ind w:left="402" w:hanging="357"/>
              <w:rPr>
                <w:rFonts w:ascii="Tahoma" w:hAnsi="Tahoma" w:cs="Tahoma"/>
                <w:spacing w:val="5"/>
                <w:sz w:val="20"/>
                <w:szCs w:val="20"/>
                <w:lang w:val="fi-FI"/>
              </w:rPr>
            </w:pPr>
            <w:r w:rsidRPr="001C70B5">
              <w:rPr>
                <w:rFonts w:ascii="Tahoma" w:hAnsi="Tahoma" w:cs="Tahoma"/>
                <w:spacing w:val="5"/>
                <w:sz w:val="20"/>
                <w:szCs w:val="20"/>
                <w:lang w:val="fi-FI"/>
              </w:rPr>
              <w:t xml:space="preserve">Osaa teknisen dokumentoinnin perusteet </w:t>
            </w:r>
          </w:p>
          <w:p w14:paraId="1219EB7E" w14:textId="77777777" w:rsidR="00617C97" w:rsidRPr="001C70B5" w:rsidRDefault="00617C97" w:rsidP="00154012">
            <w:pPr>
              <w:pStyle w:val="NormalWeb"/>
              <w:numPr>
                <w:ilvl w:val="0"/>
                <w:numId w:val="11"/>
              </w:numPr>
              <w:spacing w:before="0" w:beforeAutospacing="0" w:after="0" w:afterAutospacing="0"/>
              <w:ind w:left="402" w:hanging="357"/>
              <w:rPr>
                <w:rFonts w:ascii="Tahoma" w:hAnsi="Tahoma" w:cs="Tahoma"/>
                <w:spacing w:val="5"/>
                <w:sz w:val="20"/>
                <w:szCs w:val="20"/>
                <w:lang w:val="fi-FI"/>
              </w:rPr>
            </w:pPr>
            <w:r w:rsidRPr="001C70B5">
              <w:rPr>
                <w:rFonts w:ascii="Tahoma" w:hAnsi="Tahoma" w:cs="Tahoma"/>
                <w:spacing w:val="5"/>
                <w:sz w:val="20"/>
                <w:szCs w:val="20"/>
                <w:lang w:val="fi-FI"/>
              </w:rPr>
              <w:t>Ymmärtää suunnitteluketjun eri vaiheet ja tehtävät kussakin vaiheessa.</w:t>
            </w:r>
          </w:p>
          <w:p w14:paraId="076C02A4" w14:textId="77777777" w:rsidR="00617C97" w:rsidRPr="001C70B5" w:rsidRDefault="00617C97" w:rsidP="00154012">
            <w:pPr>
              <w:pStyle w:val="NormalWeb"/>
              <w:numPr>
                <w:ilvl w:val="0"/>
                <w:numId w:val="11"/>
              </w:numPr>
              <w:spacing w:before="0" w:beforeAutospacing="0" w:after="0" w:afterAutospacing="0"/>
              <w:ind w:left="402" w:hanging="357"/>
              <w:rPr>
                <w:rFonts w:ascii="Tahoma" w:hAnsi="Tahoma" w:cs="Tahoma"/>
                <w:spacing w:val="5"/>
                <w:sz w:val="20"/>
                <w:szCs w:val="20"/>
                <w:lang w:val="fi-FI"/>
              </w:rPr>
            </w:pPr>
            <w:r w:rsidRPr="001C70B5">
              <w:rPr>
                <w:rFonts w:ascii="Tahoma" w:hAnsi="Tahoma" w:cs="Tahoma"/>
                <w:spacing w:val="5"/>
                <w:sz w:val="20"/>
                <w:szCs w:val="20"/>
                <w:lang w:val="fi-FI"/>
              </w:rPr>
              <w:t>Tuntee yleisimmät rakennemateriaalit (mm. painelaitemateriaalit) ja niiden käyttöominaisuudet</w:t>
            </w:r>
          </w:p>
          <w:p w14:paraId="55ADF417" w14:textId="77777777" w:rsidR="00617C97" w:rsidRPr="001C70B5" w:rsidRDefault="00617C97" w:rsidP="00154012">
            <w:pPr>
              <w:pStyle w:val="NormalWeb"/>
              <w:numPr>
                <w:ilvl w:val="0"/>
                <w:numId w:val="11"/>
              </w:numPr>
              <w:spacing w:before="0" w:beforeAutospacing="0" w:after="0" w:afterAutospacing="0"/>
              <w:rPr>
                <w:rFonts w:ascii="Tahoma" w:hAnsi="Tahoma" w:cs="Tahoma"/>
                <w:spacing w:val="5"/>
                <w:sz w:val="20"/>
                <w:szCs w:val="20"/>
                <w:lang w:val="fi-FI"/>
              </w:rPr>
            </w:pPr>
            <w:r w:rsidRPr="001C70B5">
              <w:rPr>
                <w:rFonts w:ascii="Tahoma" w:hAnsi="Tahoma" w:cs="Tahoma"/>
                <w:spacing w:val="5"/>
                <w:sz w:val="20"/>
                <w:szCs w:val="20"/>
                <w:lang w:val="fi-FI"/>
              </w:rPr>
              <w:t>Ymmärtää valmistettavuuden, asennettavuuden ja käytettävyyden vaikutuksen tuotteen suunnittelussa</w:t>
            </w:r>
          </w:p>
          <w:p w14:paraId="0D79FE22" w14:textId="77777777" w:rsidR="00617C97" w:rsidRPr="001C70B5" w:rsidRDefault="00617C97" w:rsidP="00154012">
            <w:pPr>
              <w:pStyle w:val="NormalWeb"/>
              <w:numPr>
                <w:ilvl w:val="0"/>
                <w:numId w:val="11"/>
              </w:numPr>
              <w:spacing w:before="0" w:beforeAutospacing="0" w:after="0" w:afterAutospacing="0"/>
              <w:rPr>
                <w:rFonts w:ascii="Tahoma" w:hAnsi="Tahoma" w:cs="Tahoma"/>
                <w:spacing w:val="5"/>
                <w:sz w:val="20"/>
                <w:szCs w:val="20"/>
                <w:lang w:val="fi-FI"/>
              </w:rPr>
            </w:pPr>
            <w:r w:rsidRPr="001C70B5">
              <w:rPr>
                <w:rFonts w:ascii="Tahoma" w:hAnsi="Tahoma" w:cs="Tahoma"/>
                <w:spacing w:val="5"/>
                <w:sz w:val="20"/>
                <w:szCs w:val="20"/>
                <w:lang w:val="fi-FI"/>
              </w:rPr>
              <w:t>Ymmärtää viranomaismääräysten ja standardoinnin merkityksen tuotteiden suunnittelussa ja valmistuksessa ja tunnistaa olennaiset teollisuusvaatimukset</w:t>
            </w:r>
          </w:p>
          <w:p w14:paraId="1C1727C9" w14:textId="77777777" w:rsidR="00617C97" w:rsidRPr="001C70B5" w:rsidRDefault="00617C97" w:rsidP="00154012">
            <w:pPr>
              <w:pStyle w:val="NormalWeb"/>
              <w:numPr>
                <w:ilvl w:val="0"/>
                <w:numId w:val="11"/>
              </w:numPr>
              <w:spacing w:before="0" w:beforeAutospacing="0" w:after="0" w:afterAutospacing="0"/>
              <w:rPr>
                <w:rFonts w:ascii="Tahoma" w:hAnsi="Tahoma" w:cs="Tahoma"/>
                <w:spacing w:val="5"/>
                <w:sz w:val="20"/>
                <w:szCs w:val="20"/>
                <w:lang w:val="fi-FI"/>
              </w:rPr>
            </w:pPr>
            <w:r w:rsidRPr="001C70B5">
              <w:rPr>
                <w:rFonts w:ascii="Tahoma" w:hAnsi="Tahoma" w:cs="Tahoma"/>
                <w:spacing w:val="5"/>
                <w:sz w:val="20"/>
                <w:szCs w:val="20"/>
                <w:lang w:val="fi-FI"/>
              </w:rPr>
              <w:t>Tuntee projektityöskentelyn eri vaiheiden merkityksen. Hallitsee projektityöskentelyn ja ymmärtää sen merkityksen suunnittelutyössä ja pystyy toimimaan kansainvälisessä suunnitteluorganisaatiossa</w:t>
            </w:r>
          </w:p>
          <w:p w14:paraId="3F5DFDCC" w14:textId="77777777" w:rsidR="00617C97" w:rsidRPr="001C70B5" w:rsidRDefault="00617C97" w:rsidP="00154012">
            <w:pPr>
              <w:numPr>
                <w:ilvl w:val="0"/>
                <w:numId w:val="11"/>
              </w:numPr>
              <w:spacing w:before="0" w:after="0" w:line="240" w:lineRule="auto"/>
              <w:rPr>
                <w:rFonts w:ascii="Tahoma" w:hAnsi="Tahoma" w:cs="Tahoma"/>
                <w:spacing w:val="5"/>
                <w:szCs w:val="20"/>
              </w:rPr>
            </w:pPr>
            <w:r w:rsidRPr="001C70B5">
              <w:rPr>
                <w:rFonts w:ascii="Tahoma" w:hAnsi="Tahoma" w:cs="Tahoma"/>
                <w:spacing w:val="5"/>
                <w:szCs w:val="20"/>
              </w:rPr>
              <w:t>Tunnistaa konepajatekniikan valmistustekniikan menetelmät, laitteet ja mahdollisuudet tuotantotekniikan kannalta</w:t>
            </w:r>
          </w:p>
          <w:p w14:paraId="13DE424B" w14:textId="77777777" w:rsidR="00617C97" w:rsidRPr="001C70B5" w:rsidRDefault="00617C97" w:rsidP="00154012">
            <w:pPr>
              <w:numPr>
                <w:ilvl w:val="0"/>
                <w:numId w:val="11"/>
              </w:numPr>
              <w:spacing w:before="0" w:after="0" w:line="240" w:lineRule="auto"/>
              <w:rPr>
                <w:rFonts w:ascii="Tahoma" w:hAnsi="Tahoma" w:cs="Tahoma"/>
                <w:spacing w:val="5"/>
                <w:szCs w:val="20"/>
              </w:rPr>
            </w:pPr>
            <w:r w:rsidRPr="001C70B5">
              <w:rPr>
                <w:rFonts w:ascii="Tahoma" w:hAnsi="Tahoma" w:cs="Tahoma"/>
                <w:spacing w:val="5"/>
                <w:szCs w:val="20"/>
              </w:rPr>
              <w:t>Tunnistaa eri asennusmenetelmät.</w:t>
            </w:r>
          </w:p>
          <w:p w14:paraId="50A20027" w14:textId="77777777" w:rsidR="00617C97" w:rsidRPr="001C70B5" w:rsidRDefault="00617C97" w:rsidP="00154012">
            <w:pPr>
              <w:numPr>
                <w:ilvl w:val="0"/>
                <w:numId w:val="11"/>
              </w:numPr>
              <w:spacing w:before="0" w:after="0" w:line="240" w:lineRule="auto"/>
              <w:rPr>
                <w:rFonts w:ascii="Tahoma" w:hAnsi="Tahoma" w:cs="Tahoma"/>
                <w:spacing w:val="5"/>
                <w:szCs w:val="20"/>
              </w:rPr>
            </w:pPr>
            <w:r w:rsidRPr="001C70B5">
              <w:rPr>
                <w:rFonts w:ascii="Tahoma" w:hAnsi="Tahoma" w:cs="Tahoma"/>
                <w:spacing w:val="5"/>
                <w:szCs w:val="20"/>
              </w:rPr>
              <w:t>Ymmärtää tuotannon ja asennuksen kustannusrakenteen</w:t>
            </w:r>
          </w:p>
          <w:p w14:paraId="71ECA7E4" w14:textId="77777777" w:rsidR="00617C97" w:rsidRPr="001C70B5" w:rsidRDefault="00617C97" w:rsidP="00154012">
            <w:pPr>
              <w:numPr>
                <w:ilvl w:val="0"/>
                <w:numId w:val="11"/>
              </w:numPr>
              <w:spacing w:before="0" w:after="0" w:line="240" w:lineRule="auto"/>
              <w:rPr>
                <w:rFonts w:ascii="Tahoma" w:hAnsi="Tahoma" w:cs="Tahoma"/>
                <w:spacing w:val="5"/>
                <w:szCs w:val="20"/>
              </w:rPr>
            </w:pPr>
            <w:r w:rsidRPr="001C70B5">
              <w:rPr>
                <w:rFonts w:ascii="Tahoma" w:hAnsi="Tahoma" w:cs="Tahoma"/>
                <w:spacing w:val="5"/>
                <w:szCs w:val="20"/>
              </w:rPr>
              <w:t>Tuntee tilaustoimitusketjun perusteet (myynti, suunnittelu, hankinnat, toimitus, asennus, luovutus)</w:t>
            </w:r>
          </w:p>
          <w:p w14:paraId="1EF1B9DC" w14:textId="77777777" w:rsidR="00617C97" w:rsidRPr="001C70B5" w:rsidRDefault="00617C97" w:rsidP="00154012">
            <w:pPr>
              <w:numPr>
                <w:ilvl w:val="0"/>
                <w:numId w:val="11"/>
              </w:numPr>
              <w:spacing w:before="0" w:after="0" w:line="240" w:lineRule="auto"/>
              <w:rPr>
                <w:rFonts w:ascii="Tahoma" w:hAnsi="Tahoma" w:cs="Tahoma"/>
                <w:spacing w:val="5"/>
                <w:szCs w:val="20"/>
              </w:rPr>
            </w:pPr>
            <w:r w:rsidRPr="001C70B5">
              <w:rPr>
                <w:rFonts w:ascii="Tahoma" w:hAnsi="Tahoma" w:cs="Tahoma"/>
                <w:spacing w:val="5"/>
                <w:szCs w:val="20"/>
              </w:rPr>
              <w:t xml:space="preserve">Tunnistaa tuotantojärjestelmien ja -automaation sekä tuotannon ohjauksen perusteet ja vaikutuksen tuoterakenteeseen </w:t>
            </w:r>
          </w:p>
          <w:p w14:paraId="3A73F348" w14:textId="77777777" w:rsidR="00617C97" w:rsidRPr="001C70B5" w:rsidRDefault="00617C97" w:rsidP="00154012">
            <w:pPr>
              <w:numPr>
                <w:ilvl w:val="0"/>
                <w:numId w:val="11"/>
              </w:numPr>
              <w:spacing w:before="0" w:after="0" w:line="240" w:lineRule="auto"/>
              <w:rPr>
                <w:rFonts w:ascii="Tahoma" w:hAnsi="Tahoma" w:cs="Tahoma"/>
                <w:spacing w:val="5"/>
                <w:szCs w:val="20"/>
              </w:rPr>
            </w:pPr>
            <w:r w:rsidRPr="001C70B5">
              <w:rPr>
                <w:rFonts w:ascii="Tahoma" w:hAnsi="Tahoma" w:cs="Tahoma"/>
                <w:spacing w:val="5"/>
                <w:szCs w:val="20"/>
              </w:rPr>
              <w:t>Osaa perusteet korroosio- ja eroosioilmiöistä</w:t>
            </w:r>
          </w:p>
        </w:tc>
      </w:tr>
      <w:tr w:rsidR="00617C97" w:rsidRPr="001C70B5" w14:paraId="527579D4" w14:textId="77777777" w:rsidTr="00617C97">
        <w:tc>
          <w:tcPr>
            <w:tcW w:w="2723" w:type="dxa"/>
          </w:tcPr>
          <w:p w14:paraId="3EE54768" w14:textId="77777777" w:rsidR="00617C97" w:rsidRPr="001C70B5" w:rsidRDefault="00617C97" w:rsidP="005013DC">
            <w:pPr>
              <w:pStyle w:val="NormalWeb"/>
              <w:spacing w:before="0" w:beforeAutospacing="0" w:after="0" w:afterAutospacing="0"/>
              <w:rPr>
                <w:rFonts w:ascii="Tahoma" w:hAnsi="Tahoma" w:cs="Tahoma"/>
                <w:b/>
                <w:sz w:val="20"/>
                <w:szCs w:val="20"/>
              </w:rPr>
            </w:pPr>
            <w:r w:rsidRPr="001C70B5">
              <w:rPr>
                <w:rFonts w:ascii="Tahoma" w:hAnsi="Tahoma" w:cs="Tahoma"/>
                <w:b/>
                <w:sz w:val="20"/>
                <w:szCs w:val="20"/>
              </w:rPr>
              <w:t>Energia-alaosaaminen</w:t>
            </w:r>
          </w:p>
        </w:tc>
        <w:tc>
          <w:tcPr>
            <w:tcW w:w="7767" w:type="dxa"/>
            <w:gridSpan w:val="3"/>
          </w:tcPr>
          <w:p w14:paraId="7CF140B0" w14:textId="77777777" w:rsidR="00617C97" w:rsidRPr="001C70B5" w:rsidRDefault="00617C97" w:rsidP="00154012">
            <w:pPr>
              <w:numPr>
                <w:ilvl w:val="0"/>
                <w:numId w:val="11"/>
              </w:numPr>
              <w:spacing w:before="0" w:after="0" w:line="240" w:lineRule="auto"/>
              <w:rPr>
                <w:rFonts w:ascii="Tahoma" w:hAnsi="Tahoma" w:cs="Tahoma"/>
                <w:spacing w:val="5"/>
                <w:szCs w:val="20"/>
              </w:rPr>
            </w:pPr>
            <w:r w:rsidRPr="001C70B5">
              <w:rPr>
                <w:rFonts w:ascii="Tahoma" w:hAnsi="Tahoma" w:cs="Tahoma"/>
                <w:spacing w:val="5"/>
                <w:szCs w:val="20"/>
              </w:rPr>
              <w:t xml:space="preserve">Tuntee keskeisimmät energialähteet, energian tuotannon prosessit ja järjestelmien perusrakenteet </w:t>
            </w:r>
          </w:p>
          <w:p w14:paraId="4E4B8CF5" w14:textId="77777777" w:rsidR="00617C97" w:rsidRPr="001C70B5" w:rsidRDefault="00617C97" w:rsidP="00154012">
            <w:pPr>
              <w:numPr>
                <w:ilvl w:val="0"/>
                <w:numId w:val="10"/>
              </w:numPr>
              <w:spacing w:before="0" w:after="0" w:line="240" w:lineRule="auto"/>
              <w:rPr>
                <w:rFonts w:ascii="Tahoma" w:hAnsi="Tahoma" w:cs="Tahoma"/>
                <w:color w:val="000000"/>
                <w:szCs w:val="20"/>
              </w:rPr>
            </w:pPr>
            <w:r w:rsidRPr="001C70B5">
              <w:rPr>
                <w:rFonts w:ascii="Tahoma" w:hAnsi="Tahoma" w:cs="Tahoma"/>
                <w:color w:val="000000"/>
                <w:szCs w:val="20"/>
              </w:rPr>
              <w:t>Osaa karkealla tasolla periaatteet energiantuotantomenetelmien keskinäiseen energiatalous- ja -tehokkuusvertailuun tarvittavasta hyötysuhde-, tase- ja päästölaskennasta.</w:t>
            </w:r>
          </w:p>
          <w:p w14:paraId="436B77EF" w14:textId="77777777" w:rsidR="00617C97" w:rsidRPr="001C70B5" w:rsidRDefault="00617C97" w:rsidP="00154012">
            <w:pPr>
              <w:numPr>
                <w:ilvl w:val="0"/>
                <w:numId w:val="10"/>
              </w:numPr>
              <w:spacing w:before="0" w:after="0" w:line="240" w:lineRule="auto"/>
              <w:rPr>
                <w:rFonts w:ascii="Tahoma" w:hAnsi="Tahoma" w:cs="Tahoma"/>
                <w:color w:val="000000"/>
                <w:szCs w:val="20"/>
              </w:rPr>
            </w:pPr>
            <w:r w:rsidRPr="001C70B5">
              <w:rPr>
                <w:rFonts w:ascii="Tahoma" w:hAnsi="Tahoma" w:cs="Tahoma"/>
                <w:color w:val="000000"/>
                <w:szCs w:val="20"/>
              </w:rPr>
              <w:t>Hallitsee perusteet energiaprosessien massa- ja energiataselaskennasta (mm. palaminen ja poltossa muodostuvat päästöt)</w:t>
            </w:r>
          </w:p>
          <w:p w14:paraId="0CE4D901" w14:textId="77777777" w:rsidR="00617C97" w:rsidRPr="001C70B5" w:rsidRDefault="00617C97" w:rsidP="00154012">
            <w:pPr>
              <w:numPr>
                <w:ilvl w:val="0"/>
                <w:numId w:val="11"/>
              </w:numPr>
              <w:spacing w:before="0" w:after="0" w:line="240" w:lineRule="auto"/>
              <w:rPr>
                <w:rFonts w:ascii="Tahoma" w:hAnsi="Tahoma" w:cs="Tahoma"/>
                <w:spacing w:val="5"/>
                <w:szCs w:val="20"/>
              </w:rPr>
            </w:pPr>
            <w:r w:rsidRPr="001C70B5">
              <w:rPr>
                <w:rFonts w:ascii="Tahoma" w:hAnsi="Tahoma" w:cs="Tahoma"/>
                <w:color w:val="000000"/>
                <w:szCs w:val="20"/>
              </w:rPr>
              <w:t>Tuntee eri energiajärjestelmien mitoituksen perusperiaatteet ja osaa karkealla tasolla tehdä suunnittelua tukevaa lujuus-, virtaus- ja lämmönsiirron laskentaa.</w:t>
            </w:r>
          </w:p>
          <w:p w14:paraId="4265B249" w14:textId="77777777" w:rsidR="00617C97" w:rsidRPr="001C70B5" w:rsidRDefault="00617C97" w:rsidP="00154012">
            <w:pPr>
              <w:numPr>
                <w:ilvl w:val="0"/>
                <w:numId w:val="11"/>
              </w:numPr>
              <w:spacing w:before="0" w:after="0" w:line="240" w:lineRule="auto"/>
              <w:rPr>
                <w:rFonts w:ascii="Tahoma" w:hAnsi="Tahoma" w:cs="Tahoma"/>
                <w:spacing w:val="5"/>
                <w:szCs w:val="20"/>
              </w:rPr>
            </w:pPr>
            <w:r w:rsidRPr="001C70B5">
              <w:rPr>
                <w:rFonts w:ascii="Tahoma" w:hAnsi="Tahoma" w:cs="Tahoma"/>
                <w:spacing w:val="5"/>
                <w:szCs w:val="20"/>
              </w:rPr>
              <w:t>Ymmärtää energiatalouden perusteet sekä energiaketjuajattelun ja energiapolitiikan vaikutukset ja merkityksen energiajärjestelmien valinnalle ja suunnittelulle</w:t>
            </w:r>
          </w:p>
        </w:tc>
      </w:tr>
      <w:tr w:rsidR="00617C97" w:rsidRPr="001C70B5" w14:paraId="716C7B7C" w14:textId="77777777" w:rsidTr="00617C97">
        <w:tc>
          <w:tcPr>
            <w:tcW w:w="2723" w:type="dxa"/>
          </w:tcPr>
          <w:p w14:paraId="7FCF95A6" w14:textId="22975DDB" w:rsidR="00617C97" w:rsidRDefault="00617C97" w:rsidP="005013DC">
            <w:pPr>
              <w:pStyle w:val="NormalWeb"/>
              <w:spacing w:before="0" w:beforeAutospacing="0" w:after="0" w:afterAutospacing="0"/>
              <w:rPr>
                <w:rFonts w:ascii="Tahoma" w:hAnsi="Tahoma" w:cs="Tahoma"/>
                <w:b/>
                <w:spacing w:val="5"/>
                <w:sz w:val="20"/>
                <w:szCs w:val="20"/>
              </w:rPr>
            </w:pPr>
            <w:r w:rsidRPr="001C70B5">
              <w:rPr>
                <w:rFonts w:ascii="Tahoma" w:hAnsi="Tahoma" w:cs="Tahoma"/>
                <w:b/>
                <w:sz w:val="20"/>
                <w:szCs w:val="20"/>
              </w:rPr>
              <w:t>Prosessi- ja  intstrumentointiosaaminen</w:t>
            </w:r>
          </w:p>
          <w:p w14:paraId="1EF6B482" w14:textId="77777777" w:rsidR="00617C97" w:rsidRPr="00617C97" w:rsidRDefault="00617C97" w:rsidP="00617C97">
            <w:pPr>
              <w:rPr>
                <w:lang w:val="en-US"/>
              </w:rPr>
            </w:pPr>
          </w:p>
          <w:p w14:paraId="23F86F3B" w14:textId="0CCFE7A7" w:rsidR="00617C97" w:rsidRPr="00617C97" w:rsidRDefault="00617C97" w:rsidP="00617C97">
            <w:pPr>
              <w:rPr>
                <w:lang w:val="en-US"/>
              </w:rPr>
            </w:pPr>
          </w:p>
        </w:tc>
        <w:tc>
          <w:tcPr>
            <w:tcW w:w="7767" w:type="dxa"/>
            <w:gridSpan w:val="3"/>
          </w:tcPr>
          <w:p w14:paraId="59AD0720" w14:textId="77777777" w:rsidR="00617C97" w:rsidRPr="001C70B5" w:rsidRDefault="00617C97" w:rsidP="00154012">
            <w:pPr>
              <w:numPr>
                <w:ilvl w:val="0"/>
                <w:numId w:val="10"/>
              </w:numPr>
              <w:spacing w:before="0" w:after="0" w:line="240" w:lineRule="auto"/>
              <w:rPr>
                <w:rFonts w:ascii="Tahoma" w:hAnsi="Tahoma" w:cs="Tahoma"/>
                <w:szCs w:val="20"/>
              </w:rPr>
            </w:pPr>
            <w:r w:rsidRPr="001C70B5">
              <w:rPr>
                <w:rFonts w:ascii="Tahoma" w:hAnsi="Tahoma" w:cs="Tahoma"/>
                <w:szCs w:val="20"/>
              </w:rPr>
              <w:t>Tuntee prosessisuunnittelun standardit ja ohjeistukset ja osaa laatia energiaprosessille prosessi- ja instrumentointikaavion suunnitteluohjelmistolla.</w:t>
            </w:r>
          </w:p>
          <w:p w14:paraId="5DF74059" w14:textId="77777777" w:rsidR="00617C97" w:rsidRPr="001C70B5" w:rsidRDefault="00617C97" w:rsidP="00154012">
            <w:pPr>
              <w:numPr>
                <w:ilvl w:val="0"/>
                <w:numId w:val="10"/>
              </w:numPr>
              <w:spacing w:before="0" w:after="0" w:line="240" w:lineRule="auto"/>
              <w:rPr>
                <w:rFonts w:ascii="Tahoma" w:hAnsi="Tahoma" w:cs="Tahoma"/>
                <w:szCs w:val="20"/>
              </w:rPr>
            </w:pPr>
            <w:r w:rsidRPr="001C70B5">
              <w:rPr>
                <w:rFonts w:ascii="Tahoma" w:hAnsi="Tahoma" w:cs="Tahoma"/>
                <w:szCs w:val="20"/>
              </w:rPr>
              <w:t>Tuntee yleisimmät energiaprosesseissa käytettävät kenttälaitteet, ohjausjärjestelmät ja mittaustekniikan. Osaa käyttää automaatiosuunnittelun ja -käytön ohjelmistoja.</w:t>
            </w:r>
          </w:p>
        </w:tc>
      </w:tr>
      <w:tr w:rsidR="00617C97" w:rsidRPr="001C70B5" w14:paraId="44755B91" w14:textId="77777777" w:rsidTr="00617C97">
        <w:trPr>
          <w:gridAfter w:val="1"/>
          <w:wAfter w:w="425" w:type="dxa"/>
        </w:trPr>
        <w:tc>
          <w:tcPr>
            <w:tcW w:w="2875" w:type="dxa"/>
            <w:gridSpan w:val="2"/>
            <w:shd w:val="clear" w:color="auto" w:fill="31A3B5"/>
          </w:tcPr>
          <w:p w14:paraId="205B238C" w14:textId="1BC7BC38" w:rsidR="00617C97" w:rsidRPr="001C70B5" w:rsidRDefault="00A90DB9" w:rsidP="005013DC">
            <w:pPr>
              <w:jc w:val="center"/>
              <w:rPr>
                <w:rFonts w:ascii="Tahoma" w:hAnsi="Tahoma" w:cs="Tahoma"/>
                <w:b/>
                <w:color w:val="FFFFFF"/>
                <w:szCs w:val="20"/>
              </w:rPr>
            </w:pPr>
            <w:r>
              <w:rPr>
                <w:rFonts w:ascii="Tahoma" w:hAnsi="Tahoma" w:cs="Tahoma"/>
                <w:b/>
                <w:color w:val="FFFFFF"/>
                <w:szCs w:val="20"/>
              </w:rPr>
              <w:t>Bio- ja kiertotalous</w:t>
            </w:r>
          </w:p>
        </w:tc>
        <w:tc>
          <w:tcPr>
            <w:tcW w:w="7190" w:type="dxa"/>
            <w:shd w:val="clear" w:color="auto" w:fill="31A3B5"/>
          </w:tcPr>
          <w:p w14:paraId="636F6B54" w14:textId="77777777" w:rsidR="00617C97" w:rsidRPr="001C70B5" w:rsidRDefault="00617C97" w:rsidP="005013DC">
            <w:pPr>
              <w:rPr>
                <w:rFonts w:ascii="Tahoma" w:hAnsi="Tahoma" w:cs="Tahoma"/>
                <w:b/>
                <w:color w:val="FFFFFF"/>
                <w:szCs w:val="20"/>
              </w:rPr>
            </w:pPr>
            <w:r w:rsidRPr="001C70B5">
              <w:rPr>
                <w:rFonts w:ascii="Tahoma" w:hAnsi="Tahoma" w:cs="Tahoma"/>
                <w:b/>
                <w:color w:val="FFFFFF"/>
                <w:szCs w:val="20"/>
              </w:rPr>
              <w:t>… suuntautumisena</w:t>
            </w:r>
          </w:p>
        </w:tc>
      </w:tr>
      <w:tr w:rsidR="00617C97" w:rsidRPr="001C70B5" w14:paraId="6BCDE429" w14:textId="77777777" w:rsidTr="00617C97">
        <w:trPr>
          <w:gridAfter w:val="1"/>
          <w:wAfter w:w="425" w:type="dxa"/>
        </w:trPr>
        <w:tc>
          <w:tcPr>
            <w:tcW w:w="2875" w:type="dxa"/>
            <w:gridSpan w:val="2"/>
          </w:tcPr>
          <w:p w14:paraId="6546B2A6" w14:textId="77777777" w:rsidR="00617C97" w:rsidRPr="001C70B5" w:rsidRDefault="00617C97" w:rsidP="005013DC">
            <w:pPr>
              <w:jc w:val="right"/>
              <w:rPr>
                <w:rFonts w:ascii="Tahoma" w:hAnsi="Tahoma" w:cs="Tahoma"/>
                <w:b/>
                <w:szCs w:val="20"/>
              </w:rPr>
            </w:pPr>
          </w:p>
          <w:p w14:paraId="64407680" w14:textId="06A96E8F" w:rsidR="00D85AB2" w:rsidRPr="001C70B5" w:rsidRDefault="00D85AB2" w:rsidP="005013DC">
            <w:pPr>
              <w:rPr>
                <w:rFonts w:ascii="Tahoma" w:hAnsi="Tahoma" w:cs="Tahoma"/>
                <w:b/>
                <w:szCs w:val="20"/>
              </w:rPr>
            </w:pPr>
            <w:r>
              <w:rPr>
                <w:rFonts w:ascii="Tahoma" w:hAnsi="Tahoma" w:cs="Tahoma"/>
                <w:b/>
                <w:szCs w:val="20"/>
              </w:rPr>
              <w:t>Biotalouden prosessiosaaminen</w:t>
            </w:r>
          </w:p>
        </w:tc>
        <w:tc>
          <w:tcPr>
            <w:tcW w:w="7190" w:type="dxa"/>
          </w:tcPr>
          <w:p w14:paraId="158FC5B4" w14:textId="208837A4" w:rsidR="00617C97" w:rsidRPr="001C70B5" w:rsidRDefault="006A36B9" w:rsidP="00154012">
            <w:pPr>
              <w:numPr>
                <w:ilvl w:val="0"/>
                <w:numId w:val="10"/>
              </w:numPr>
              <w:spacing w:before="0" w:after="0" w:line="240" w:lineRule="auto"/>
              <w:ind w:left="357" w:hanging="357"/>
              <w:rPr>
                <w:rFonts w:ascii="Tahoma" w:hAnsi="Tahoma" w:cs="Tahoma"/>
                <w:color w:val="000000"/>
                <w:szCs w:val="20"/>
              </w:rPr>
            </w:pPr>
            <w:r>
              <w:rPr>
                <w:rFonts w:ascii="Tahoma" w:hAnsi="Tahoma" w:cs="Tahoma"/>
                <w:color w:val="000000"/>
                <w:szCs w:val="20"/>
              </w:rPr>
              <w:t>Tuntee perusteet biopolttoaineiden</w:t>
            </w:r>
            <w:r w:rsidR="00617C97" w:rsidRPr="001C70B5">
              <w:rPr>
                <w:rFonts w:ascii="Tahoma" w:hAnsi="Tahoma" w:cs="Tahoma"/>
                <w:color w:val="000000"/>
                <w:szCs w:val="20"/>
              </w:rPr>
              <w:t xml:space="preserve"> käsittelystä, jalostuksesta ja biokemiallisista prosesseista.</w:t>
            </w:r>
          </w:p>
          <w:p w14:paraId="2A54B1A3" w14:textId="77777777" w:rsidR="00617C97" w:rsidRPr="006A36B9" w:rsidRDefault="00617C97" w:rsidP="006A36B9">
            <w:pPr>
              <w:numPr>
                <w:ilvl w:val="0"/>
                <w:numId w:val="10"/>
              </w:numPr>
              <w:spacing w:before="0" w:after="0" w:line="240" w:lineRule="auto"/>
              <w:ind w:left="357" w:hanging="357"/>
              <w:rPr>
                <w:rFonts w:ascii="Tahoma" w:hAnsi="Tahoma" w:cs="Tahoma"/>
                <w:spacing w:val="5"/>
                <w:szCs w:val="20"/>
              </w:rPr>
            </w:pPr>
            <w:r w:rsidRPr="001C70B5">
              <w:rPr>
                <w:rFonts w:ascii="Tahoma" w:hAnsi="Tahoma" w:cs="Tahoma"/>
                <w:color w:val="000000"/>
                <w:szCs w:val="20"/>
              </w:rPr>
              <w:t xml:space="preserve">Tuntee menetelmiä </w:t>
            </w:r>
            <w:r w:rsidR="006A36B9">
              <w:rPr>
                <w:rFonts w:ascii="Tahoma" w:hAnsi="Tahoma" w:cs="Tahoma"/>
                <w:color w:val="000000"/>
                <w:szCs w:val="20"/>
              </w:rPr>
              <w:t>biopolttoaineiden</w:t>
            </w:r>
            <w:r w:rsidRPr="001C70B5">
              <w:rPr>
                <w:rFonts w:ascii="Tahoma" w:hAnsi="Tahoma" w:cs="Tahoma"/>
                <w:color w:val="000000"/>
                <w:szCs w:val="20"/>
              </w:rPr>
              <w:t xml:space="preserve"> tuota</w:t>
            </w:r>
            <w:r w:rsidR="006A36B9">
              <w:rPr>
                <w:rFonts w:ascii="Tahoma" w:hAnsi="Tahoma" w:cs="Tahoma"/>
                <w:color w:val="000000"/>
                <w:szCs w:val="20"/>
              </w:rPr>
              <w:t>ntoprosessien</w:t>
            </w:r>
            <w:r w:rsidRPr="001C70B5">
              <w:rPr>
                <w:rFonts w:ascii="Tahoma" w:hAnsi="Tahoma" w:cs="Tahoma"/>
                <w:color w:val="000000"/>
                <w:szCs w:val="20"/>
              </w:rPr>
              <w:t xml:space="preserve"> energiatehokkuuden parantamiseksi, ympäristökuormituksen vähentämiseksi ja elinkaaren aikaisten ympäristövaikutusten arvioimiseksi.</w:t>
            </w:r>
          </w:p>
          <w:p w14:paraId="07A6EBB7" w14:textId="77777777" w:rsidR="006A36B9" w:rsidRPr="006A36B9" w:rsidRDefault="006A36B9" w:rsidP="006A36B9">
            <w:pPr>
              <w:numPr>
                <w:ilvl w:val="0"/>
                <w:numId w:val="10"/>
              </w:numPr>
              <w:spacing w:before="0" w:after="0" w:line="240" w:lineRule="auto"/>
              <w:ind w:left="357" w:hanging="357"/>
              <w:rPr>
                <w:rFonts w:ascii="Tahoma" w:hAnsi="Tahoma" w:cs="Tahoma"/>
                <w:spacing w:val="5"/>
                <w:szCs w:val="20"/>
              </w:rPr>
            </w:pPr>
            <w:r>
              <w:rPr>
                <w:rFonts w:ascii="Tahoma" w:hAnsi="Tahoma" w:cs="Tahoma"/>
                <w:color w:val="000000"/>
                <w:szCs w:val="20"/>
              </w:rPr>
              <w:t>Tuntee metsäteollisuuden tärkeimmät energiaa käyttävät yksikköprosessit ja osaa arvioida niiden energiataloudellisuutta.</w:t>
            </w:r>
          </w:p>
          <w:p w14:paraId="47A04D9A" w14:textId="7BAA1AC1" w:rsidR="006A36B9" w:rsidRPr="001C70B5" w:rsidRDefault="006A36B9" w:rsidP="006A36B9">
            <w:pPr>
              <w:numPr>
                <w:ilvl w:val="0"/>
                <w:numId w:val="10"/>
              </w:numPr>
              <w:spacing w:before="0" w:after="0" w:line="240" w:lineRule="auto"/>
              <w:ind w:left="357" w:hanging="357"/>
              <w:rPr>
                <w:rFonts w:ascii="Tahoma" w:hAnsi="Tahoma" w:cs="Tahoma"/>
                <w:spacing w:val="5"/>
                <w:szCs w:val="20"/>
              </w:rPr>
            </w:pPr>
            <w:r>
              <w:rPr>
                <w:rFonts w:ascii="Tahoma" w:hAnsi="Tahoma" w:cs="Tahoma"/>
                <w:color w:val="000000"/>
                <w:szCs w:val="20"/>
              </w:rPr>
              <w:t>Tietää miten metsäteollisuudessa energiaa tuotetaan käyttäen prosessijätteitä ja sivuvirtoja.</w:t>
            </w:r>
          </w:p>
        </w:tc>
      </w:tr>
      <w:tr w:rsidR="00617C97" w:rsidRPr="001C70B5" w14:paraId="3FB5EC79" w14:textId="77777777" w:rsidTr="00617C97">
        <w:trPr>
          <w:gridAfter w:val="1"/>
          <w:wAfter w:w="425" w:type="dxa"/>
        </w:trPr>
        <w:tc>
          <w:tcPr>
            <w:tcW w:w="2875" w:type="dxa"/>
            <w:gridSpan w:val="2"/>
          </w:tcPr>
          <w:p w14:paraId="54B6E338" w14:textId="77777777" w:rsidR="00617C97" w:rsidRPr="001C70B5" w:rsidRDefault="00617C97" w:rsidP="005013DC">
            <w:pPr>
              <w:jc w:val="right"/>
              <w:rPr>
                <w:rFonts w:ascii="Tahoma" w:hAnsi="Tahoma" w:cs="Tahoma"/>
                <w:szCs w:val="20"/>
              </w:rPr>
            </w:pPr>
          </w:p>
          <w:p w14:paraId="0737AB99" w14:textId="74F25ED4" w:rsidR="00D85AB2" w:rsidRPr="001C70B5" w:rsidRDefault="00D85AB2" w:rsidP="005013DC">
            <w:pPr>
              <w:rPr>
                <w:rFonts w:ascii="Tahoma" w:hAnsi="Tahoma" w:cs="Tahoma"/>
                <w:b/>
                <w:szCs w:val="20"/>
              </w:rPr>
            </w:pPr>
            <w:r>
              <w:rPr>
                <w:rFonts w:ascii="Tahoma" w:hAnsi="Tahoma" w:cs="Tahoma"/>
                <w:b/>
                <w:szCs w:val="20"/>
              </w:rPr>
              <w:t>Kiertotalouden menetelmä- ja innovaatio-osaaminen</w:t>
            </w:r>
          </w:p>
        </w:tc>
        <w:tc>
          <w:tcPr>
            <w:tcW w:w="7190" w:type="dxa"/>
          </w:tcPr>
          <w:p w14:paraId="17318FC6" w14:textId="5CD6D2E7" w:rsidR="00617C97" w:rsidRDefault="00617C97" w:rsidP="00154012">
            <w:pPr>
              <w:numPr>
                <w:ilvl w:val="0"/>
                <w:numId w:val="10"/>
              </w:numPr>
              <w:spacing w:before="0" w:after="0" w:line="240" w:lineRule="auto"/>
              <w:ind w:left="357" w:hanging="357"/>
              <w:rPr>
                <w:rFonts w:ascii="Tahoma" w:hAnsi="Tahoma" w:cs="Tahoma"/>
                <w:szCs w:val="20"/>
              </w:rPr>
            </w:pPr>
            <w:r w:rsidRPr="001C70B5">
              <w:rPr>
                <w:rFonts w:ascii="Tahoma" w:hAnsi="Tahoma" w:cs="Tahoma"/>
                <w:szCs w:val="20"/>
              </w:rPr>
              <w:t xml:space="preserve">Ymmärtää kiertotalouden </w:t>
            </w:r>
            <w:r w:rsidR="00B36AD0">
              <w:rPr>
                <w:rFonts w:ascii="Tahoma" w:hAnsi="Tahoma" w:cs="Tahoma"/>
                <w:szCs w:val="20"/>
              </w:rPr>
              <w:t xml:space="preserve">käsitteen ja </w:t>
            </w:r>
            <w:r w:rsidRPr="001C70B5">
              <w:rPr>
                <w:rFonts w:ascii="Tahoma" w:hAnsi="Tahoma" w:cs="Tahoma"/>
                <w:szCs w:val="20"/>
              </w:rPr>
              <w:t>merkityksen tuotteiden ja prosessien</w:t>
            </w:r>
            <w:r w:rsidR="00B36AD0">
              <w:rPr>
                <w:rFonts w:ascii="Tahoma" w:hAnsi="Tahoma" w:cs="Tahoma"/>
                <w:szCs w:val="20"/>
              </w:rPr>
              <w:t xml:space="preserve"> materiaalivirroissa sekä</w:t>
            </w:r>
            <w:r w:rsidRPr="001C70B5">
              <w:rPr>
                <w:rFonts w:ascii="Tahoma" w:hAnsi="Tahoma" w:cs="Tahoma"/>
                <w:szCs w:val="20"/>
              </w:rPr>
              <w:t xml:space="preserve"> elinkaariajattelussa</w:t>
            </w:r>
            <w:r w:rsidR="00B36AD0">
              <w:rPr>
                <w:rFonts w:ascii="Tahoma" w:hAnsi="Tahoma" w:cs="Tahoma"/>
                <w:szCs w:val="20"/>
              </w:rPr>
              <w:t>.</w:t>
            </w:r>
          </w:p>
          <w:p w14:paraId="0A899032" w14:textId="4C5CAC6F" w:rsidR="006A36B9" w:rsidRDefault="00B36AD0" w:rsidP="00154012">
            <w:pPr>
              <w:numPr>
                <w:ilvl w:val="0"/>
                <w:numId w:val="10"/>
              </w:numPr>
              <w:spacing w:before="0" w:after="0" w:line="240" w:lineRule="auto"/>
              <w:ind w:left="357" w:hanging="357"/>
              <w:rPr>
                <w:rFonts w:ascii="Tahoma" w:hAnsi="Tahoma" w:cs="Tahoma"/>
                <w:szCs w:val="20"/>
              </w:rPr>
            </w:pPr>
            <w:r>
              <w:rPr>
                <w:rFonts w:ascii="Tahoma" w:hAnsi="Tahoma" w:cs="Tahoma"/>
                <w:szCs w:val="20"/>
              </w:rPr>
              <w:t>Tuntee yritysten ja yhteisöjen lakisääteiset ympäristövelvoitteet sekä ympäristölainsäädännön periaatteet ja ohjauskeinot.</w:t>
            </w:r>
          </w:p>
          <w:p w14:paraId="1A50020E" w14:textId="7650792E" w:rsidR="00B36AD0" w:rsidRDefault="00B36AD0" w:rsidP="00154012">
            <w:pPr>
              <w:numPr>
                <w:ilvl w:val="0"/>
                <w:numId w:val="10"/>
              </w:numPr>
              <w:spacing w:before="0" w:after="0" w:line="240" w:lineRule="auto"/>
              <w:ind w:left="357" w:hanging="357"/>
              <w:rPr>
                <w:rFonts w:ascii="Tahoma" w:hAnsi="Tahoma" w:cs="Tahoma"/>
                <w:szCs w:val="20"/>
              </w:rPr>
            </w:pPr>
            <w:r>
              <w:rPr>
                <w:rFonts w:ascii="Tahoma" w:hAnsi="Tahoma" w:cs="Tahoma"/>
                <w:szCs w:val="20"/>
              </w:rPr>
              <w:t>Tietää luonnonvarojen kestävän käytön periaatteet sekä eri kierrätystekniikat.</w:t>
            </w:r>
          </w:p>
          <w:p w14:paraId="0845C829" w14:textId="08C1F357" w:rsidR="00B36AD0" w:rsidRPr="00B36AD0" w:rsidRDefault="00B36AD0" w:rsidP="00B36AD0">
            <w:pPr>
              <w:numPr>
                <w:ilvl w:val="0"/>
                <w:numId w:val="10"/>
              </w:numPr>
              <w:spacing w:before="0" w:after="0" w:line="240" w:lineRule="auto"/>
              <w:ind w:left="357" w:hanging="357"/>
              <w:rPr>
                <w:rFonts w:ascii="Tahoma" w:hAnsi="Tahoma" w:cs="Tahoma"/>
                <w:szCs w:val="20"/>
              </w:rPr>
            </w:pPr>
            <w:r w:rsidRPr="001C70B5">
              <w:rPr>
                <w:rFonts w:ascii="Tahoma" w:hAnsi="Tahoma" w:cs="Tahoma"/>
                <w:szCs w:val="20"/>
              </w:rPr>
              <w:t>Tuntee tuotekehitys- ja innovaatioprosessien periaatteet.</w:t>
            </w:r>
          </w:p>
          <w:p w14:paraId="636563A3" w14:textId="504718B6" w:rsidR="00617C97" w:rsidRPr="001C70B5" w:rsidRDefault="00617C97" w:rsidP="00154012">
            <w:pPr>
              <w:numPr>
                <w:ilvl w:val="0"/>
                <w:numId w:val="10"/>
              </w:numPr>
              <w:spacing w:before="0" w:after="0" w:line="240" w:lineRule="auto"/>
              <w:ind w:left="357" w:hanging="357"/>
              <w:rPr>
                <w:rFonts w:ascii="Tahoma" w:hAnsi="Tahoma" w:cs="Tahoma"/>
                <w:szCs w:val="20"/>
              </w:rPr>
            </w:pPr>
            <w:r w:rsidRPr="001C70B5">
              <w:rPr>
                <w:rFonts w:ascii="Tahoma" w:hAnsi="Tahoma" w:cs="Tahoma"/>
                <w:szCs w:val="20"/>
              </w:rPr>
              <w:t>Ymmärtää tuotekehityksen tiedonhankinnan ja kehitysprojektin hallinnan merkityksen onnistuneelle kehitysprojektille.</w:t>
            </w:r>
          </w:p>
          <w:p w14:paraId="31D12645" w14:textId="2050FD55" w:rsidR="00617C97" w:rsidRPr="001C70B5" w:rsidRDefault="0099447C" w:rsidP="0099447C">
            <w:pPr>
              <w:numPr>
                <w:ilvl w:val="0"/>
                <w:numId w:val="10"/>
              </w:numPr>
              <w:spacing w:before="0" w:after="0" w:line="240" w:lineRule="auto"/>
              <w:ind w:left="357" w:hanging="357"/>
              <w:rPr>
                <w:rFonts w:ascii="Tahoma" w:hAnsi="Tahoma" w:cs="Tahoma"/>
                <w:szCs w:val="20"/>
              </w:rPr>
            </w:pPr>
            <w:r w:rsidRPr="0099447C">
              <w:rPr>
                <w:rFonts w:ascii="Tahoma" w:hAnsi="Tahoma" w:cs="Tahoma"/>
                <w:szCs w:val="20"/>
              </w:rPr>
              <w:t>Tuntee perusteet toimitusketjujen toteutuksesta ja hallinnasta, ostotoiminnasta, materiaalin hallinta sekä tuotanto- ja jakelulogistiikasta toimitusketjujen osina.</w:t>
            </w:r>
          </w:p>
        </w:tc>
      </w:tr>
    </w:tbl>
    <w:p w14:paraId="21083E8C" w14:textId="77777777" w:rsidR="00617C97" w:rsidRPr="00522F8F" w:rsidRDefault="00617C97" w:rsidP="00522F8F">
      <w:pPr>
        <w:rPr>
          <w:rFonts w:cs="Calibri"/>
        </w:rPr>
      </w:pPr>
    </w:p>
    <w:p w14:paraId="26F65279" w14:textId="3A431285" w:rsidR="00B01F65" w:rsidRPr="00595FDF" w:rsidRDefault="00B01F65" w:rsidP="00B01F65">
      <w:pPr>
        <w:rPr>
          <w:snapToGrid w:val="0"/>
        </w:rPr>
      </w:pPr>
    </w:p>
    <w:p w14:paraId="26F6527A" w14:textId="3F57AB20" w:rsidR="00CF590C" w:rsidRPr="00B01F65" w:rsidRDefault="00CF590C" w:rsidP="00CF590C">
      <w:pPr>
        <w:rPr>
          <w:snapToGrid w:val="0"/>
        </w:rPr>
      </w:pPr>
    </w:p>
    <w:p w14:paraId="26F652C6" w14:textId="77777777" w:rsidR="00CF590C" w:rsidRPr="00595FDF" w:rsidRDefault="00CF590C" w:rsidP="00CF590C">
      <w:pPr>
        <w:rPr>
          <w:rFonts w:cs="Calibri"/>
          <w:b/>
          <w:bCs/>
          <w:sz w:val="24"/>
        </w:rPr>
      </w:pPr>
    </w:p>
    <w:p w14:paraId="26F652C7" w14:textId="77777777" w:rsidR="00CF590C" w:rsidRPr="00DD7EE7" w:rsidRDefault="00CF590C" w:rsidP="00CF590C">
      <w:pPr>
        <w:pStyle w:val="Heading2"/>
        <w:rPr>
          <w:rFonts w:eastAsia="Calibri" w:cs="Calibri"/>
          <w:szCs w:val="24"/>
        </w:rPr>
      </w:pPr>
      <w:r w:rsidRPr="00595FDF">
        <w:rPr>
          <w:rFonts w:cs="Calibri"/>
          <w:szCs w:val="24"/>
        </w:rPr>
        <w:br w:type="page"/>
      </w:r>
      <w:bookmarkStart w:id="8" w:name="_Toc290881664"/>
      <w:bookmarkStart w:id="9" w:name="_Toc513549495"/>
      <w:r>
        <w:rPr>
          <w:rFonts w:eastAsia="Calibri"/>
        </w:rPr>
        <w:t xml:space="preserve">1.3 </w:t>
      </w:r>
      <w:r w:rsidRPr="00B31AC6">
        <w:rPr>
          <w:rFonts w:eastAsia="Calibri"/>
        </w:rPr>
        <w:t>Opintojen rakenne</w:t>
      </w:r>
      <w:bookmarkEnd w:id="8"/>
      <w:bookmarkEnd w:id="9"/>
    </w:p>
    <w:p w14:paraId="2267A81E" w14:textId="64597AEF" w:rsidR="008467F2" w:rsidRDefault="00704335" w:rsidP="008467F2">
      <w:pPr>
        <w:rPr>
          <w:rFonts w:cs="Calibri"/>
        </w:rPr>
      </w:pPr>
      <w:bookmarkStart w:id="10" w:name="_Toc290881665"/>
      <w:r>
        <w:rPr>
          <w:rFonts w:cs="Calibri"/>
        </w:rPr>
        <w:t>Bio- ja kiertotalouden m</w:t>
      </w:r>
      <w:r w:rsidR="008467F2">
        <w:rPr>
          <w:rFonts w:cs="Calibri"/>
        </w:rPr>
        <w:t xml:space="preserve">uuntokoulutuksen toteutuslaajuus on 60-120 opintopistettä. Koulutus kestää 1-2 vuotta aikaisemmista opinnoista ja työhistoriasta riippuen. </w:t>
      </w:r>
    </w:p>
    <w:p w14:paraId="62F59E6B" w14:textId="74DA446D" w:rsidR="008467F2" w:rsidRDefault="008467F2" w:rsidP="008467F2">
      <w:r>
        <w:t>Opiskelijoille laaditaa</w:t>
      </w:r>
      <w:r w:rsidR="00704335">
        <w:t>n henkilökohtainen opintosuunnitelma (HOPS)</w:t>
      </w:r>
      <w:r>
        <w:t xml:space="preserve"> heidän suuntautumisensa ja mielenkiintonsa perusteella. Aikaisempi osaaminen tunnistetaan ja tunnustetaan AHOT-järjestelmän mukaisesti jokaisen opiskelijan kanssa henkilökohtaisesti.</w:t>
      </w:r>
    </w:p>
    <w:p w14:paraId="747FF019" w14:textId="3CEDA6FB" w:rsidR="00704335" w:rsidRPr="00CD3CDB" w:rsidRDefault="00704335" w:rsidP="008467F2">
      <w:r w:rsidRPr="00CD3CDB">
        <w:t>Toteutuslaajuudeltaan 60 opintopisteen bio- ja kiertotalouden muuntokoulutuksessa on suuntaavia ammattiopintoja 60op soveltuvan insinööri (AMK) tutkinnon jatkoksi.</w:t>
      </w:r>
      <w:r w:rsidR="00042B83" w:rsidRPr="00CD3CDB">
        <w:t xml:space="preserve"> </w:t>
      </w:r>
    </w:p>
    <w:p w14:paraId="29D8771B" w14:textId="319345B0" w:rsidR="00704335" w:rsidRDefault="00704335" w:rsidP="008467F2">
      <w:r w:rsidRPr="00A43E84">
        <w:t xml:space="preserve">Toteutuslaajuudeltaan laajimmassa 120 opintopisteen bio- ja kiertotalouden muuntokoulutuksessa </w:t>
      </w:r>
      <w:r w:rsidR="00A43E84" w:rsidRPr="00A43E84">
        <w:t>on suuntaavia ammattiopintoja 75</w:t>
      </w:r>
      <w:r w:rsidRPr="00A43E84">
        <w:t xml:space="preserve">op, vapaasti valittavia opintoja 15op, ammattia edistävää harjoittelua </w:t>
      </w:r>
      <w:r w:rsidR="00A43E84">
        <w:t>15op</w:t>
      </w:r>
      <w:r w:rsidRPr="00A43E84">
        <w:t xml:space="preserve"> ja opinnäytetyö 15op.</w:t>
      </w:r>
    </w:p>
    <w:p w14:paraId="23E5A3E7" w14:textId="6005F201" w:rsidR="00A33CD6" w:rsidRPr="008467F2" w:rsidRDefault="00A33CD6" w:rsidP="008467F2">
      <w:r w:rsidRPr="00A43E84">
        <w:t>Energiatekniikan insinöörin opinnot</w:t>
      </w:r>
      <w:r w:rsidR="00A43E84">
        <w:t xml:space="preserve"> b</w:t>
      </w:r>
      <w:r w:rsidR="00704335" w:rsidRPr="00A43E84">
        <w:t>io- ja kiertotalouden muuntokoulutuksessa</w:t>
      </w:r>
      <w:r w:rsidRPr="00A43E84">
        <w:t xml:space="preserve"> koostuvat seuraavista opinnoista:</w:t>
      </w:r>
    </w:p>
    <w:tbl>
      <w:tblPr>
        <w:tblW w:w="97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93"/>
        <w:gridCol w:w="1134"/>
        <w:gridCol w:w="6551"/>
      </w:tblGrid>
      <w:tr w:rsidR="00A33CD6" w:rsidRPr="0034643F" w14:paraId="11ED35AF" w14:textId="77777777" w:rsidTr="00042B83">
        <w:tc>
          <w:tcPr>
            <w:tcW w:w="2093" w:type="dxa"/>
            <w:shd w:val="clear" w:color="auto" w:fill="31A3B5"/>
          </w:tcPr>
          <w:p w14:paraId="3930E320" w14:textId="77777777" w:rsidR="00A33CD6" w:rsidRPr="001C70B5" w:rsidRDefault="00A33CD6" w:rsidP="00731BC6">
            <w:pPr>
              <w:rPr>
                <w:rFonts w:cs="Calibri"/>
                <w:color w:val="FFFFFF"/>
                <w:szCs w:val="20"/>
              </w:rPr>
            </w:pPr>
          </w:p>
        </w:tc>
        <w:tc>
          <w:tcPr>
            <w:tcW w:w="1134" w:type="dxa"/>
            <w:shd w:val="clear" w:color="auto" w:fill="31A3B5"/>
          </w:tcPr>
          <w:p w14:paraId="23861978" w14:textId="77777777" w:rsidR="00A33CD6" w:rsidRPr="001C70B5" w:rsidRDefault="00A33CD6" w:rsidP="00731BC6">
            <w:pPr>
              <w:rPr>
                <w:rFonts w:ascii="Tahoma" w:hAnsi="Tahoma" w:cs="Tahoma"/>
                <w:color w:val="FFFFFF"/>
                <w:szCs w:val="20"/>
              </w:rPr>
            </w:pPr>
            <w:r w:rsidRPr="001C70B5">
              <w:rPr>
                <w:rFonts w:ascii="Tahoma" w:hAnsi="Tahoma" w:cs="Tahoma"/>
                <w:color w:val="FFFFFF"/>
                <w:szCs w:val="20"/>
              </w:rPr>
              <w:t xml:space="preserve">Laajuus </w:t>
            </w:r>
          </w:p>
        </w:tc>
        <w:tc>
          <w:tcPr>
            <w:tcW w:w="6551" w:type="dxa"/>
            <w:shd w:val="clear" w:color="auto" w:fill="31A3B5"/>
          </w:tcPr>
          <w:p w14:paraId="6A8BD813" w14:textId="77777777" w:rsidR="00A33CD6" w:rsidRPr="001C70B5" w:rsidRDefault="00A33CD6" w:rsidP="00731BC6">
            <w:pPr>
              <w:rPr>
                <w:rFonts w:ascii="Tahoma" w:hAnsi="Tahoma" w:cs="Tahoma"/>
                <w:color w:val="FFFFFF"/>
                <w:szCs w:val="20"/>
              </w:rPr>
            </w:pPr>
            <w:r w:rsidRPr="001C70B5">
              <w:rPr>
                <w:rFonts w:ascii="Tahoma" w:hAnsi="Tahoma" w:cs="Tahoma"/>
                <w:color w:val="FFFFFF"/>
                <w:szCs w:val="20"/>
              </w:rPr>
              <w:t>Luonnehdinta opinnoista lyhyesti</w:t>
            </w:r>
          </w:p>
        </w:tc>
      </w:tr>
      <w:tr w:rsidR="00A33CD6" w:rsidRPr="0034643F" w14:paraId="010B4E3F" w14:textId="77777777" w:rsidTr="00042B83">
        <w:tc>
          <w:tcPr>
            <w:tcW w:w="2093" w:type="dxa"/>
          </w:tcPr>
          <w:p w14:paraId="36CBF710" w14:textId="41DAEE48" w:rsidR="00A33CD6" w:rsidRPr="001C70B5" w:rsidRDefault="00A33CD6" w:rsidP="00731BC6">
            <w:pPr>
              <w:rPr>
                <w:rFonts w:ascii="Tahoma" w:hAnsi="Tahoma" w:cs="Tahoma"/>
                <w:b/>
                <w:szCs w:val="20"/>
              </w:rPr>
            </w:pPr>
            <w:r w:rsidRPr="001C70B5">
              <w:rPr>
                <w:rFonts w:ascii="Tahoma" w:hAnsi="Tahoma" w:cs="Tahoma"/>
                <w:b/>
                <w:szCs w:val="20"/>
              </w:rPr>
              <w:t>Ammattiopinnot</w:t>
            </w:r>
          </w:p>
        </w:tc>
        <w:tc>
          <w:tcPr>
            <w:tcW w:w="1134" w:type="dxa"/>
          </w:tcPr>
          <w:p w14:paraId="1367D9EF" w14:textId="06132B9F" w:rsidR="00A33CD6" w:rsidRPr="001C70B5" w:rsidRDefault="00A43E84" w:rsidP="00731BC6">
            <w:pPr>
              <w:rPr>
                <w:rFonts w:ascii="Tahoma" w:hAnsi="Tahoma" w:cs="Tahoma"/>
                <w:szCs w:val="20"/>
              </w:rPr>
            </w:pPr>
            <w:r>
              <w:rPr>
                <w:rFonts w:ascii="Tahoma" w:hAnsi="Tahoma" w:cs="Tahoma"/>
                <w:szCs w:val="20"/>
              </w:rPr>
              <w:t>75</w:t>
            </w:r>
            <w:r w:rsidR="00A33CD6" w:rsidRPr="001C70B5">
              <w:rPr>
                <w:rFonts w:ascii="Tahoma" w:hAnsi="Tahoma" w:cs="Tahoma"/>
                <w:szCs w:val="20"/>
              </w:rPr>
              <w:t xml:space="preserve"> op</w:t>
            </w:r>
          </w:p>
        </w:tc>
        <w:tc>
          <w:tcPr>
            <w:tcW w:w="6551" w:type="dxa"/>
          </w:tcPr>
          <w:p w14:paraId="12206D3C" w14:textId="21A7C367" w:rsidR="00A33CD6" w:rsidRPr="001C70B5" w:rsidRDefault="00A33CD6" w:rsidP="00A43E84">
            <w:pPr>
              <w:rPr>
                <w:rFonts w:ascii="Tahoma" w:hAnsi="Tahoma" w:cs="Tahoma"/>
                <w:szCs w:val="20"/>
              </w:rPr>
            </w:pPr>
            <w:r w:rsidRPr="001C70B5">
              <w:rPr>
                <w:rFonts w:ascii="Tahoma" w:hAnsi="Tahoma" w:cs="Tahoma"/>
                <w:szCs w:val="20"/>
              </w:rPr>
              <w:t>Muodostuu tutkin</w:t>
            </w:r>
            <w:r w:rsidR="00A43E84">
              <w:rPr>
                <w:rFonts w:ascii="Tahoma" w:hAnsi="Tahoma" w:cs="Tahoma"/>
                <w:szCs w:val="20"/>
              </w:rPr>
              <w:t>to-ohjelmakohtaisista</w:t>
            </w:r>
            <w:r w:rsidRPr="001C70B5">
              <w:rPr>
                <w:rFonts w:ascii="Tahoma" w:hAnsi="Tahoma" w:cs="Tahoma"/>
                <w:szCs w:val="20"/>
              </w:rPr>
              <w:t xml:space="preserve"> ammattiopinnoista</w:t>
            </w:r>
            <w:r w:rsidR="00A43E84">
              <w:rPr>
                <w:rFonts w:ascii="Tahoma" w:hAnsi="Tahoma" w:cs="Tahoma"/>
                <w:szCs w:val="20"/>
              </w:rPr>
              <w:t xml:space="preserve"> (45</w:t>
            </w:r>
            <w:r w:rsidR="00042B83">
              <w:rPr>
                <w:rFonts w:ascii="Tahoma" w:hAnsi="Tahoma" w:cs="Tahoma"/>
                <w:szCs w:val="20"/>
              </w:rPr>
              <w:t>op)</w:t>
            </w:r>
            <w:r w:rsidR="006F22FF">
              <w:rPr>
                <w:rFonts w:ascii="Tahoma" w:hAnsi="Tahoma" w:cs="Tahoma"/>
                <w:szCs w:val="20"/>
              </w:rPr>
              <w:t xml:space="preserve"> ja suuntautumisen syventävistä (15op) ja soveltavista opinnoista (15op)</w:t>
            </w:r>
            <w:r w:rsidRPr="001C70B5">
              <w:rPr>
                <w:rFonts w:ascii="Tahoma" w:hAnsi="Tahoma" w:cs="Tahoma"/>
                <w:szCs w:val="20"/>
              </w:rPr>
              <w:t xml:space="preserve"> </w:t>
            </w:r>
          </w:p>
        </w:tc>
      </w:tr>
      <w:tr w:rsidR="00A33CD6" w:rsidRPr="0034643F" w14:paraId="7D537807" w14:textId="77777777" w:rsidTr="00042B83">
        <w:tc>
          <w:tcPr>
            <w:tcW w:w="2093" w:type="dxa"/>
          </w:tcPr>
          <w:p w14:paraId="29C58A40" w14:textId="4C1F7EAF" w:rsidR="00A33CD6" w:rsidRPr="001C70B5" w:rsidRDefault="00A33CD6" w:rsidP="00CA1077">
            <w:pPr>
              <w:rPr>
                <w:rFonts w:ascii="Tahoma" w:hAnsi="Tahoma" w:cs="Tahoma"/>
                <w:b/>
                <w:szCs w:val="20"/>
              </w:rPr>
            </w:pPr>
            <w:r w:rsidRPr="00CA1077">
              <w:rPr>
                <w:rFonts w:ascii="Tahoma" w:hAnsi="Tahoma" w:cs="Tahoma"/>
                <w:b/>
                <w:szCs w:val="20"/>
              </w:rPr>
              <w:t>Harjoittelu</w:t>
            </w:r>
          </w:p>
        </w:tc>
        <w:tc>
          <w:tcPr>
            <w:tcW w:w="1134" w:type="dxa"/>
          </w:tcPr>
          <w:p w14:paraId="1A55780B" w14:textId="77777777" w:rsidR="00A33CD6" w:rsidRPr="001C70B5" w:rsidRDefault="00A33CD6" w:rsidP="00731BC6">
            <w:pPr>
              <w:rPr>
                <w:rFonts w:ascii="Tahoma" w:hAnsi="Tahoma" w:cs="Tahoma"/>
                <w:szCs w:val="20"/>
              </w:rPr>
            </w:pPr>
          </w:p>
          <w:p w14:paraId="5BEB0537" w14:textId="74FE378F" w:rsidR="00A33CD6" w:rsidRPr="001C70B5" w:rsidRDefault="00042B83" w:rsidP="00731BC6">
            <w:pPr>
              <w:rPr>
                <w:rFonts w:ascii="Tahoma" w:hAnsi="Tahoma" w:cs="Tahoma"/>
                <w:szCs w:val="20"/>
              </w:rPr>
            </w:pPr>
            <w:r w:rsidRPr="00CA1077">
              <w:rPr>
                <w:rFonts w:ascii="Tahoma" w:hAnsi="Tahoma" w:cs="Tahoma"/>
                <w:szCs w:val="20"/>
              </w:rPr>
              <w:t>15</w:t>
            </w:r>
            <w:r w:rsidR="00A33CD6" w:rsidRPr="00CA1077">
              <w:rPr>
                <w:rFonts w:ascii="Tahoma" w:hAnsi="Tahoma" w:cs="Tahoma"/>
                <w:szCs w:val="20"/>
              </w:rPr>
              <w:t xml:space="preserve"> op</w:t>
            </w:r>
          </w:p>
        </w:tc>
        <w:tc>
          <w:tcPr>
            <w:tcW w:w="6551" w:type="dxa"/>
          </w:tcPr>
          <w:p w14:paraId="6233EE8D" w14:textId="72E8A4B0" w:rsidR="00A33CD6" w:rsidRPr="001C70B5" w:rsidRDefault="00A33CD6" w:rsidP="00A43E84">
            <w:pPr>
              <w:autoSpaceDE w:val="0"/>
              <w:autoSpaceDN w:val="0"/>
              <w:rPr>
                <w:rFonts w:ascii="Tahoma" w:hAnsi="Tahoma" w:cs="Tahoma"/>
                <w:iCs/>
                <w:szCs w:val="20"/>
              </w:rPr>
            </w:pPr>
            <w:r w:rsidRPr="001C70B5">
              <w:rPr>
                <w:rFonts w:ascii="Tahoma" w:hAnsi="Tahoma" w:cs="Tahoma"/>
                <w:iCs/>
                <w:szCs w:val="20"/>
              </w:rPr>
              <w:t xml:space="preserve">Harjoittelussa opiskelija perehtyy käytännön työtoimintaan ja hankkii valmiuksia erilaisten toimintatapojen ja työmenetelmien valintaan, käyttöön ja soveltamiseen.  Harjoittelussa opitaan myös kehittämään asiakas- ja työelämälähtöisesti uusia ratkaisuja ja toiminnan laatua.  Harjoittelu valmentaa työelämän vaatimuksiin ammatillista osaamista syventämällä sekä auttaa työllistymään koulutusalaa ja suuntautumista vastaaviin tehtäviin. </w:t>
            </w:r>
          </w:p>
        </w:tc>
      </w:tr>
      <w:tr w:rsidR="00A33CD6" w:rsidRPr="0034643F" w14:paraId="3C3FE98D" w14:textId="77777777" w:rsidTr="00042B83">
        <w:tc>
          <w:tcPr>
            <w:tcW w:w="2093" w:type="dxa"/>
          </w:tcPr>
          <w:p w14:paraId="06309876" w14:textId="77777777" w:rsidR="00A33CD6" w:rsidRPr="001C70B5" w:rsidRDefault="00A33CD6" w:rsidP="00731BC6">
            <w:pPr>
              <w:rPr>
                <w:rFonts w:ascii="Tahoma" w:hAnsi="Tahoma" w:cs="Tahoma"/>
                <w:b/>
                <w:szCs w:val="20"/>
              </w:rPr>
            </w:pPr>
            <w:r w:rsidRPr="001C70B5">
              <w:rPr>
                <w:rFonts w:ascii="Tahoma" w:hAnsi="Tahoma" w:cs="Tahoma"/>
                <w:b/>
                <w:szCs w:val="20"/>
              </w:rPr>
              <w:t>Opinnäytetyö</w:t>
            </w:r>
          </w:p>
          <w:p w14:paraId="11559A59" w14:textId="77777777" w:rsidR="00A33CD6" w:rsidRPr="001C70B5" w:rsidRDefault="00A33CD6" w:rsidP="00731BC6">
            <w:pPr>
              <w:rPr>
                <w:rFonts w:ascii="Tahoma" w:hAnsi="Tahoma" w:cs="Tahoma"/>
                <w:szCs w:val="20"/>
              </w:rPr>
            </w:pPr>
          </w:p>
        </w:tc>
        <w:tc>
          <w:tcPr>
            <w:tcW w:w="1134" w:type="dxa"/>
          </w:tcPr>
          <w:p w14:paraId="1C0EF3A5" w14:textId="77777777" w:rsidR="00A33CD6" w:rsidRPr="00507CCB" w:rsidRDefault="00A33CD6" w:rsidP="00731BC6">
            <w:pPr>
              <w:jc w:val="both"/>
              <w:rPr>
                <w:rFonts w:ascii="Tahoma" w:hAnsi="Tahoma" w:cs="Tahoma"/>
                <w:szCs w:val="20"/>
              </w:rPr>
            </w:pPr>
            <w:r>
              <w:rPr>
                <w:rFonts w:ascii="Tahoma" w:hAnsi="Tahoma" w:cs="Tahoma"/>
                <w:szCs w:val="20"/>
              </w:rPr>
              <w:t>15 op</w:t>
            </w:r>
          </w:p>
        </w:tc>
        <w:tc>
          <w:tcPr>
            <w:tcW w:w="6551" w:type="dxa"/>
          </w:tcPr>
          <w:p w14:paraId="04A5B3F9" w14:textId="77777777" w:rsidR="00A33CD6" w:rsidRPr="001C70B5" w:rsidRDefault="00A33CD6" w:rsidP="00731BC6">
            <w:pPr>
              <w:rPr>
                <w:rFonts w:ascii="Tahoma" w:hAnsi="Tahoma" w:cs="Tahoma"/>
                <w:szCs w:val="20"/>
              </w:rPr>
            </w:pPr>
            <w:r w:rsidRPr="001C70B5">
              <w:rPr>
                <w:rFonts w:ascii="Tahoma" w:hAnsi="Tahoma" w:cs="Tahoma"/>
                <w:szCs w:val="20"/>
              </w:rPr>
              <w:t>Opinnäytetyö on opiskelijan työelämäläheinen oppimisprosessi, jota asiantuntijat tukevat, ohjaavat ja arvioivat. Tavoitteena on, että opiskelija kehittää työelämää opinnäytetyöllään samalla kun prosessi syventää hänen asiantuntijuuttaan valitussa aiheessa.  Opinnäytetyöt voivat olla tutkimuksellisia, toiminnallisia tai subjektiivista luovaa ilmaisua. Opinnäytetyön tekemisessä opiskelija vastaa</w:t>
            </w:r>
          </w:p>
          <w:p w14:paraId="63F5FF51" w14:textId="77777777" w:rsidR="00A33CD6" w:rsidRPr="001C70B5" w:rsidRDefault="00A33CD6" w:rsidP="00154012">
            <w:pPr>
              <w:numPr>
                <w:ilvl w:val="0"/>
                <w:numId w:val="12"/>
              </w:numPr>
              <w:spacing w:before="0" w:after="0" w:line="240" w:lineRule="auto"/>
              <w:ind w:left="714" w:hanging="357"/>
              <w:rPr>
                <w:rFonts w:ascii="Tahoma" w:hAnsi="Tahoma" w:cs="Tahoma"/>
                <w:szCs w:val="20"/>
              </w:rPr>
            </w:pPr>
            <w:r w:rsidRPr="001C70B5">
              <w:rPr>
                <w:rFonts w:ascii="Tahoma" w:hAnsi="Tahoma" w:cs="Tahoma"/>
                <w:szCs w:val="20"/>
              </w:rPr>
              <w:t>opinnäytetyöidean ja työelämäyhteyden hakemisesta</w:t>
            </w:r>
          </w:p>
          <w:p w14:paraId="6F50B88A" w14:textId="77777777" w:rsidR="00A33CD6" w:rsidRPr="001C70B5" w:rsidRDefault="00A33CD6" w:rsidP="00154012">
            <w:pPr>
              <w:pStyle w:val="ListParagraph"/>
              <w:numPr>
                <w:ilvl w:val="0"/>
                <w:numId w:val="12"/>
              </w:numPr>
              <w:spacing w:before="0" w:after="0" w:line="240" w:lineRule="auto"/>
              <w:ind w:left="714" w:hanging="357"/>
              <w:rPr>
                <w:rFonts w:ascii="Tahoma" w:hAnsi="Tahoma" w:cs="Tahoma"/>
                <w:szCs w:val="20"/>
              </w:rPr>
            </w:pPr>
            <w:r w:rsidRPr="001C70B5">
              <w:rPr>
                <w:rFonts w:ascii="Tahoma" w:hAnsi="Tahoma" w:cs="Tahoma"/>
                <w:szCs w:val="20"/>
              </w:rPr>
              <w:t>opinnäytetyön tehtäväalueeseen perehtymisestä ja tehtävän asettamisesta</w:t>
            </w:r>
          </w:p>
          <w:p w14:paraId="06C4787A" w14:textId="77777777" w:rsidR="00A33CD6" w:rsidRPr="001C70B5" w:rsidRDefault="00A33CD6" w:rsidP="00154012">
            <w:pPr>
              <w:pStyle w:val="ListParagraph"/>
              <w:numPr>
                <w:ilvl w:val="0"/>
                <w:numId w:val="12"/>
              </w:numPr>
              <w:spacing w:before="0" w:after="0" w:line="240" w:lineRule="auto"/>
              <w:ind w:left="714" w:hanging="357"/>
              <w:rPr>
                <w:rFonts w:ascii="Tahoma" w:hAnsi="Tahoma" w:cs="Tahoma"/>
                <w:szCs w:val="20"/>
              </w:rPr>
            </w:pPr>
            <w:r w:rsidRPr="001C70B5">
              <w:rPr>
                <w:rFonts w:ascii="Tahoma" w:hAnsi="Tahoma" w:cs="Tahoma"/>
                <w:szCs w:val="20"/>
              </w:rPr>
              <w:t>asetetun tehtävän suorittamisesta ja raportoinnista</w:t>
            </w:r>
          </w:p>
          <w:p w14:paraId="3A4E9AFD" w14:textId="77777777" w:rsidR="00A33CD6" w:rsidRPr="001C70B5" w:rsidRDefault="00A33CD6" w:rsidP="00154012">
            <w:pPr>
              <w:pStyle w:val="ListParagraph"/>
              <w:numPr>
                <w:ilvl w:val="0"/>
                <w:numId w:val="12"/>
              </w:numPr>
              <w:spacing w:before="0" w:after="0" w:line="240" w:lineRule="auto"/>
              <w:ind w:left="714" w:hanging="357"/>
              <w:rPr>
                <w:rFonts w:ascii="Tahoma" w:hAnsi="Tahoma" w:cs="Tahoma"/>
                <w:szCs w:val="20"/>
              </w:rPr>
            </w:pPr>
            <w:r w:rsidRPr="001C70B5">
              <w:rPr>
                <w:rFonts w:ascii="Tahoma" w:hAnsi="Tahoma" w:cs="Tahoma"/>
                <w:szCs w:val="20"/>
              </w:rPr>
              <w:t>opinnäytetyön viimeistelystä ja tiedotusmateriaalin laatimisesta.</w:t>
            </w:r>
          </w:p>
          <w:p w14:paraId="749CBE5D" w14:textId="77777777" w:rsidR="00A33CD6" w:rsidRPr="001C70B5" w:rsidRDefault="00A33CD6" w:rsidP="00731BC6">
            <w:pPr>
              <w:rPr>
                <w:rFonts w:ascii="Tahoma" w:hAnsi="Tahoma" w:cs="Tahoma"/>
                <w:color w:val="4BACC6"/>
                <w:szCs w:val="20"/>
              </w:rPr>
            </w:pPr>
            <w:r w:rsidRPr="001C70B5">
              <w:rPr>
                <w:rFonts w:ascii="Tahoma" w:hAnsi="Tahoma" w:cs="Tahoma"/>
                <w:szCs w:val="20"/>
              </w:rPr>
              <w:t>Opinnäytetyö tarjoaa joustavan portin siirtyä työelämään ja hyvän mahdollisuuden verkottua omalla alalla.</w:t>
            </w:r>
          </w:p>
        </w:tc>
      </w:tr>
      <w:tr w:rsidR="00A33CD6" w:rsidRPr="0034643F" w14:paraId="207FF121" w14:textId="77777777" w:rsidTr="00042B83">
        <w:tc>
          <w:tcPr>
            <w:tcW w:w="2093" w:type="dxa"/>
          </w:tcPr>
          <w:p w14:paraId="7AEF921F" w14:textId="77777777" w:rsidR="00A33CD6" w:rsidRPr="001C70B5" w:rsidRDefault="00A33CD6" w:rsidP="00731BC6">
            <w:pPr>
              <w:rPr>
                <w:rFonts w:ascii="Tahoma" w:hAnsi="Tahoma" w:cs="Tahoma"/>
                <w:b/>
                <w:szCs w:val="20"/>
              </w:rPr>
            </w:pPr>
            <w:r w:rsidRPr="001C70B5">
              <w:rPr>
                <w:rFonts w:ascii="Tahoma" w:hAnsi="Tahoma" w:cs="Tahoma"/>
                <w:b/>
                <w:szCs w:val="20"/>
              </w:rPr>
              <w:t>Valinnaiset opinnot</w:t>
            </w:r>
          </w:p>
          <w:p w14:paraId="53C5AF8A" w14:textId="77777777" w:rsidR="00A33CD6" w:rsidRPr="001C70B5" w:rsidRDefault="00A33CD6" w:rsidP="00731BC6">
            <w:pPr>
              <w:rPr>
                <w:rFonts w:ascii="Tahoma" w:hAnsi="Tahoma" w:cs="Tahoma"/>
                <w:szCs w:val="20"/>
              </w:rPr>
            </w:pPr>
          </w:p>
        </w:tc>
        <w:tc>
          <w:tcPr>
            <w:tcW w:w="1134" w:type="dxa"/>
          </w:tcPr>
          <w:p w14:paraId="61EC19C5" w14:textId="77777777" w:rsidR="00A33CD6" w:rsidRPr="001C70B5" w:rsidRDefault="00A33CD6" w:rsidP="00731BC6">
            <w:pPr>
              <w:rPr>
                <w:rFonts w:ascii="Tahoma" w:hAnsi="Tahoma" w:cs="Tahoma"/>
                <w:szCs w:val="20"/>
              </w:rPr>
            </w:pPr>
            <w:r w:rsidRPr="001C70B5">
              <w:rPr>
                <w:rFonts w:ascii="Tahoma" w:hAnsi="Tahoma" w:cs="Tahoma"/>
                <w:szCs w:val="20"/>
              </w:rPr>
              <w:t>15 op</w:t>
            </w:r>
          </w:p>
        </w:tc>
        <w:tc>
          <w:tcPr>
            <w:tcW w:w="6551" w:type="dxa"/>
          </w:tcPr>
          <w:p w14:paraId="39A59633" w14:textId="6A81D3EF" w:rsidR="00A33CD6" w:rsidRPr="001C70B5" w:rsidRDefault="00A33CD6" w:rsidP="00042B83">
            <w:pPr>
              <w:pStyle w:val="Default"/>
              <w:rPr>
                <w:sz w:val="20"/>
                <w:szCs w:val="20"/>
              </w:rPr>
            </w:pPr>
            <w:r w:rsidRPr="001C70B5">
              <w:rPr>
                <w:sz w:val="20"/>
                <w:szCs w:val="20"/>
              </w:rPr>
              <w:t xml:space="preserve">Valinnaiset opinnot suuntaavat ja tukevat asiantuntijuuden kehittymistä opiskelijan kiinnostuksen mukaan. Opiskelija </w:t>
            </w:r>
            <w:r w:rsidR="00042B83">
              <w:rPr>
                <w:sz w:val="20"/>
                <w:szCs w:val="20"/>
              </w:rPr>
              <w:t>valitsee opintoja koulutuksen toteuttajien yhteiseltä opintotarjottimelta tutkintotavoitteidensa mukaisesti.</w:t>
            </w:r>
            <w:r w:rsidRPr="001C70B5">
              <w:rPr>
                <w:sz w:val="20"/>
                <w:szCs w:val="20"/>
              </w:rPr>
              <w:t xml:space="preserve"> </w:t>
            </w:r>
          </w:p>
        </w:tc>
      </w:tr>
      <w:tr w:rsidR="00A33CD6" w:rsidRPr="0034643F" w14:paraId="4FDCF817" w14:textId="77777777" w:rsidTr="00042B83">
        <w:tc>
          <w:tcPr>
            <w:tcW w:w="2093" w:type="dxa"/>
          </w:tcPr>
          <w:p w14:paraId="67524738" w14:textId="77777777" w:rsidR="00A33CD6" w:rsidRPr="001C70B5" w:rsidRDefault="00A33CD6" w:rsidP="00731BC6">
            <w:pPr>
              <w:rPr>
                <w:rFonts w:ascii="Tahoma" w:hAnsi="Tahoma" w:cs="Tahoma"/>
                <w:b/>
                <w:szCs w:val="20"/>
              </w:rPr>
            </w:pPr>
            <w:r w:rsidRPr="001C70B5">
              <w:rPr>
                <w:rFonts w:ascii="Tahoma" w:hAnsi="Tahoma" w:cs="Tahoma"/>
                <w:b/>
                <w:szCs w:val="20"/>
              </w:rPr>
              <w:t>Yhteensä</w:t>
            </w:r>
          </w:p>
        </w:tc>
        <w:tc>
          <w:tcPr>
            <w:tcW w:w="1134" w:type="dxa"/>
          </w:tcPr>
          <w:p w14:paraId="5A830D14" w14:textId="513B09B4" w:rsidR="00A33CD6" w:rsidRPr="001C70B5" w:rsidRDefault="00042B83" w:rsidP="00731BC6">
            <w:pPr>
              <w:rPr>
                <w:rFonts w:ascii="Tahoma" w:hAnsi="Tahoma" w:cs="Tahoma"/>
                <w:szCs w:val="20"/>
              </w:rPr>
            </w:pPr>
            <w:r>
              <w:rPr>
                <w:rFonts w:ascii="Tahoma" w:hAnsi="Tahoma" w:cs="Tahoma"/>
                <w:szCs w:val="20"/>
              </w:rPr>
              <w:t>12</w:t>
            </w:r>
            <w:r w:rsidR="00A33CD6" w:rsidRPr="001C70B5">
              <w:rPr>
                <w:rFonts w:ascii="Tahoma" w:hAnsi="Tahoma" w:cs="Tahoma"/>
                <w:szCs w:val="20"/>
              </w:rPr>
              <w:t>0 op</w:t>
            </w:r>
          </w:p>
        </w:tc>
        <w:tc>
          <w:tcPr>
            <w:tcW w:w="6551" w:type="dxa"/>
          </w:tcPr>
          <w:p w14:paraId="70999B05" w14:textId="77777777" w:rsidR="00A33CD6" w:rsidRPr="001C70B5" w:rsidRDefault="00A33CD6" w:rsidP="00731BC6">
            <w:pPr>
              <w:rPr>
                <w:rFonts w:ascii="Tahoma" w:hAnsi="Tahoma" w:cs="Tahoma"/>
                <w:szCs w:val="20"/>
              </w:rPr>
            </w:pPr>
          </w:p>
        </w:tc>
      </w:tr>
    </w:tbl>
    <w:p w14:paraId="00ED8D79" w14:textId="77777777" w:rsidR="008467F2" w:rsidRDefault="008467F2" w:rsidP="008467F2">
      <w:pPr>
        <w:rPr>
          <w:snapToGrid w:val="0"/>
        </w:rPr>
      </w:pPr>
    </w:p>
    <w:bookmarkEnd w:id="10"/>
    <w:p w14:paraId="26F652CC" w14:textId="65CA135E" w:rsidR="00CF590C" w:rsidRPr="00595FDF" w:rsidRDefault="00CF590C" w:rsidP="0023795B">
      <w:pPr>
        <w:rPr>
          <w:snapToGrid w:val="0"/>
        </w:rPr>
      </w:pPr>
    </w:p>
    <w:p w14:paraId="26F652F1" w14:textId="77777777" w:rsidR="00CF590C" w:rsidRPr="00B31AC6" w:rsidRDefault="00CF590C" w:rsidP="0023795B">
      <w:pPr>
        <w:pStyle w:val="Heading2"/>
        <w:spacing w:before="0"/>
      </w:pPr>
      <w:r w:rsidRPr="00595FDF">
        <w:rPr>
          <w:rFonts w:cs="Calibri"/>
          <w:szCs w:val="24"/>
        </w:rPr>
        <w:br w:type="page"/>
      </w:r>
      <w:bookmarkStart w:id="11" w:name="_Toc290881666"/>
      <w:bookmarkStart w:id="12" w:name="_Toc513549496"/>
      <w:r>
        <w:rPr>
          <w:rFonts w:eastAsia="Calibri"/>
        </w:rPr>
        <w:t xml:space="preserve">1.4 </w:t>
      </w:r>
      <w:r w:rsidRPr="00B31AC6">
        <w:rPr>
          <w:rFonts w:eastAsia="Calibri"/>
        </w:rPr>
        <w:t>Asiantuntijuuden kehittyminen</w:t>
      </w:r>
      <w:bookmarkEnd w:id="11"/>
      <w:bookmarkEnd w:id="12"/>
    </w:p>
    <w:p w14:paraId="26F652F2" w14:textId="22B4CD3E" w:rsidR="00CF590C" w:rsidRPr="00595FDF" w:rsidRDefault="00CF590C" w:rsidP="00B01F65">
      <w:pPr>
        <w:rPr>
          <w:snapToGrid w:val="0"/>
        </w:rPr>
      </w:pPr>
      <w:r w:rsidRPr="00595FDF">
        <w:rPr>
          <w:snapToGrid w:val="0"/>
        </w:rPr>
        <w:t>Savonian opetussuunnitelmissa opintojaksot muodostavat laajempia</w:t>
      </w:r>
      <w:r w:rsidR="00542701">
        <w:rPr>
          <w:snapToGrid w:val="0"/>
        </w:rPr>
        <w:t xml:space="preserve"> opintokokonaisuuksia.  Näin ne</w:t>
      </w:r>
      <w:r w:rsidRPr="004E09A2">
        <w:rPr>
          <w:snapToGrid w:val="0"/>
          <w:color w:val="FF0000"/>
        </w:rPr>
        <w:t xml:space="preserve"> </w:t>
      </w:r>
      <w:r w:rsidRPr="00595FDF">
        <w:rPr>
          <w:snapToGrid w:val="0"/>
        </w:rPr>
        <w:t>tukevat opiskelijan kokonaiskehitystä ja asiantuntijuuden kehittymistä.  Samalla mahdollistuu opetuksen ja työelämälähtöisen tutkimus- ja kehittämistoiminnan yhdistyminen.</w:t>
      </w:r>
    </w:p>
    <w:p w14:paraId="2387547E" w14:textId="77777777" w:rsidR="00BF076C" w:rsidRPr="00BF076C" w:rsidRDefault="00BF076C" w:rsidP="00BF076C">
      <w:pPr>
        <w:rPr>
          <w:b/>
          <w:snapToGrid w:val="0"/>
        </w:rPr>
      </w:pPr>
      <w:bookmarkStart w:id="13" w:name="_Toc290881667"/>
      <w:r w:rsidRPr="00BF076C">
        <w:rPr>
          <w:b/>
          <w:snapToGrid w:val="0"/>
        </w:rPr>
        <w:t xml:space="preserve">Energiatekniikan insinöörin opetussuunnitelma on laadittu niin, että </w:t>
      </w:r>
    </w:p>
    <w:p w14:paraId="19C11881" w14:textId="77777777" w:rsidR="00BF076C" w:rsidRPr="00BF076C" w:rsidRDefault="00BF076C" w:rsidP="00154012">
      <w:pPr>
        <w:pStyle w:val="ListParagraph"/>
        <w:numPr>
          <w:ilvl w:val="0"/>
          <w:numId w:val="1"/>
        </w:numPr>
        <w:spacing w:before="0" w:after="0" w:line="240" w:lineRule="auto"/>
        <w:rPr>
          <w:rFonts w:ascii="Calibri" w:hAnsi="Calibri" w:cs="Times New Roman"/>
          <w:snapToGrid w:val="0"/>
        </w:rPr>
      </w:pPr>
      <w:r w:rsidRPr="00BF076C">
        <w:rPr>
          <w:rFonts w:ascii="Calibri" w:hAnsi="Calibri" w:cs="Times New Roman"/>
          <w:snapToGrid w:val="0"/>
        </w:rPr>
        <w:t>tutkinto tuottaa työelämässä vaadittavan osaamisen</w:t>
      </w:r>
    </w:p>
    <w:p w14:paraId="1FD5BF38" w14:textId="77777777" w:rsidR="00BF076C" w:rsidRPr="00BF076C" w:rsidRDefault="00BF076C" w:rsidP="00154012">
      <w:pPr>
        <w:pStyle w:val="ListParagraph"/>
        <w:numPr>
          <w:ilvl w:val="0"/>
          <w:numId w:val="1"/>
        </w:numPr>
        <w:spacing w:before="0" w:after="0" w:line="240" w:lineRule="auto"/>
        <w:rPr>
          <w:rFonts w:ascii="Calibri" w:hAnsi="Calibri" w:cs="Times New Roman"/>
          <w:snapToGrid w:val="0"/>
        </w:rPr>
      </w:pPr>
      <w:r w:rsidRPr="00BF076C">
        <w:rPr>
          <w:rFonts w:ascii="Calibri" w:hAnsi="Calibri" w:cs="Times New Roman"/>
          <w:snapToGrid w:val="0"/>
        </w:rPr>
        <w:t>koulutus varmistaa opiskelijan asiantuntijuuden kehittymisen.</w:t>
      </w:r>
    </w:p>
    <w:p w14:paraId="05B2E7A4" w14:textId="77777777" w:rsidR="00BF076C" w:rsidRPr="00BF076C" w:rsidRDefault="00BF076C" w:rsidP="00BF076C">
      <w:pPr>
        <w:rPr>
          <w:rFonts w:cs="Calibri"/>
          <w:snapToGrid w:val="0"/>
          <w:szCs w:val="20"/>
        </w:rPr>
      </w:pPr>
      <w:r w:rsidRPr="00BF076C">
        <w:rPr>
          <w:rFonts w:cs="Calibri"/>
          <w:b/>
          <w:snapToGrid w:val="0"/>
          <w:szCs w:val="20"/>
        </w:rPr>
        <w:t>Opiskelija</w:t>
      </w:r>
    </w:p>
    <w:p w14:paraId="3B6D2E3C" w14:textId="77777777" w:rsidR="00BF076C" w:rsidRPr="00BF076C" w:rsidRDefault="00BF076C" w:rsidP="00154012">
      <w:pPr>
        <w:pStyle w:val="ListParagraph"/>
        <w:numPr>
          <w:ilvl w:val="0"/>
          <w:numId w:val="1"/>
        </w:numPr>
        <w:spacing w:before="0" w:after="0" w:line="240" w:lineRule="auto"/>
        <w:rPr>
          <w:rFonts w:ascii="Calibri" w:hAnsi="Calibri"/>
          <w:snapToGrid w:val="0"/>
          <w:szCs w:val="20"/>
        </w:rPr>
      </w:pPr>
      <w:r w:rsidRPr="00BF076C">
        <w:rPr>
          <w:rFonts w:ascii="Calibri" w:hAnsi="Calibri"/>
          <w:snapToGrid w:val="0"/>
          <w:szCs w:val="20"/>
        </w:rPr>
        <w:t>laatii opiskelunsa tueksi henkilökohtaisen opiskelusuunnitelman, jossa aiemmin hankittu osaaminen tunnistetaan (sisältää vähintään 5 opintopistettä opiskelua vieraalla kielellä)</w:t>
      </w:r>
    </w:p>
    <w:p w14:paraId="42F01771" w14:textId="5812F7E5" w:rsidR="00BF076C" w:rsidRPr="00BF076C" w:rsidRDefault="00BF076C" w:rsidP="00154012">
      <w:pPr>
        <w:pStyle w:val="ListParagraph"/>
        <w:numPr>
          <w:ilvl w:val="0"/>
          <w:numId w:val="1"/>
        </w:numPr>
        <w:spacing w:before="0" w:after="0" w:line="240" w:lineRule="auto"/>
        <w:rPr>
          <w:rFonts w:ascii="Calibri" w:hAnsi="Calibri"/>
          <w:snapToGrid w:val="0"/>
          <w:szCs w:val="20"/>
        </w:rPr>
      </w:pPr>
      <w:r w:rsidRPr="00BF076C">
        <w:rPr>
          <w:rFonts w:ascii="Calibri" w:hAnsi="Calibri"/>
          <w:snapToGrid w:val="0"/>
          <w:szCs w:val="20"/>
        </w:rPr>
        <w:t>vastaa opintojensa etenemisestä.</w:t>
      </w:r>
    </w:p>
    <w:p w14:paraId="0FC02B89" w14:textId="77777777" w:rsidR="00BF076C" w:rsidRPr="00BF076C" w:rsidRDefault="00BF076C" w:rsidP="00BF076C">
      <w:pPr>
        <w:rPr>
          <w:rFonts w:cs="Calibri"/>
          <w:snapToGrid w:val="0"/>
          <w:szCs w:val="20"/>
        </w:rPr>
      </w:pPr>
      <w:r w:rsidRPr="00BF076C">
        <w:rPr>
          <w:rFonts w:cs="Calibri"/>
          <w:snapToGrid w:val="0"/>
          <w:szCs w:val="20"/>
        </w:rPr>
        <w:t xml:space="preserve">Savonian </w:t>
      </w:r>
      <w:r w:rsidRPr="00BF076C">
        <w:rPr>
          <w:rFonts w:cs="Calibri"/>
          <w:b/>
          <w:snapToGrid w:val="0"/>
          <w:szCs w:val="20"/>
        </w:rPr>
        <w:t>opettajat ja muu henkilöstö</w:t>
      </w:r>
      <w:r w:rsidRPr="00BF076C">
        <w:rPr>
          <w:rFonts w:cs="Calibri"/>
          <w:snapToGrid w:val="0"/>
          <w:szCs w:val="20"/>
        </w:rPr>
        <w:t xml:space="preserve"> ohjaavat ja tukevat henkilökohtaisten tavoitteiden määrittelemisessä ja saavuttamisessa.</w:t>
      </w:r>
    </w:p>
    <w:p w14:paraId="26F65306" w14:textId="09DFE03A" w:rsidR="0023795B" w:rsidRPr="00BF076C" w:rsidRDefault="00BF076C" w:rsidP="00CF590C">
      <w:pPr>
        <w:rPr>
          <w:rFonts w:cs="Calibri"/>
          <w:szCs w:val="20"/>
        </w:rPr>
      </w:pPr>
      <w:r>
        <w:rPr>
          <w:rFonts w:cs="Calibri"/>
          <w:szCs w:val="20"/>
        </w:rPr>
        <w:t>Bio- ja kiertotalouden muuntokoulutuksen</w:t>
      </w:r>
      <w:r w:rsidRPr="00BF076C">
        <w:rPr>
          <w:rFonts w:cs="Calibri"/>
          <w:szCs w:val="20"/>
        </w:rPr>
        <w:t xml:space="preserve"> asiantuntijuuden kehittyminen eri vaiheissaan yhdistettynä toteutusteemoihin, ydin opintojaksoihin</w:t>
      </w:r>
      <w:r>
        <w:rPr>
          <w:rFonts w:cs="Calibri"/>
          <w:szCs w:val="20"/>
        </w:rPr>
        <w:t xml:space="preserve"> ja tuettuihin osaamisalueisiin:</w:t>
      </w:r>
      <w:bookmarkEnd w:id="13"/>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4"/>
        <w:gridCol w:w="4253"/>
        <w:gridCol w:w="4603"/>
      </w:tblGrid>
      <w:tr w:rsidR="00CF590C" w:rsidRPr="00595FDF" w14:paraId="26F6530A" w14:textId="77777777" w:rsidTr="0049308D">
        <w:tc>
          <w:tcPr>
            <w:tcW w:w="1204" w:type="dxa"/>
            <w:shd w:val="clear" w:color="auto" w:fill="31A3B5"/>
          </w:tcPr>
          <w:p w14:paraId="26F65307" w14:textId="77777777" w:rsidR="00CF590C" w:rsidRPr="0023795B" w:rsidRDefault="00CF590C" w:rsidP="00CF590C">
            <w:pPr>
              <w:rPr>
                <w:rFonts w:asciiTheme="majorHAnsi" w:hAnsiTheme="majorHAnsi" w:cstheme="majorHAnsi"/>
                <w:b/>
                <w:color w:val="FFFFFF"/>
                <w:szCs w:val="20"/>
              </w:rPr>
            </w:pPr>
          </w:p>
        </w:tc>
        <w:tc>
          <w:tcPr>
            <w:tcW w:w="4253" w:type="dxa"/>
            <w:shd w:val="clear" w:color="auto" w:fill="31A3B5"/>
          </w:tcPr>
          <w:p w14:paraId="26F65308" w14:textId="77777777" w:rsidR="00CF590C" w:rsidRPr="0023795B" w:rsidRDefault="00CF590C" w:rsidP="00CF590C">
            <w:pPr>
              <w:rPr>
                <w:rFonts w:asciiTheme="majorHAnsi" w:hAnsiTheme="majorHAnsi" w:cstheme="majorHAnsi"/>
                <w:b/>
                <w:color w:val="FFFFFF"/>
                <w:szCs w:val="20"/>
              </w:rPr>
            </w:pPr>
            <w:r w:rsidRPr="0023795B">
              <w:rPr>
                <w:rFonts w:asciiTheme="majorHAnsi" w:hAnsiTheme="majorHAnsi" w:cstheme="majorHAnsi"/>
                <w:b/>
                <w:color w:val="FFFFFF"/>
                <w:szCs w:val="20"/>
              </w:rPr>
              <w:t xml:space="preserve"> Vuositeema ja alateemat</w:t>
            </w:r>
          </w:p>
        </w:tc>
        <w:tc>
          <w:tcPr>
            <w:tcW w:w="4603" w:type="dxa"/>
            <w:shd w:val="clear" w:color="auto" w:fill="31A3B5"/>
          </w:tcPr>
          <w:p w14:paraId="26F65309" w14:textId="77777777" w:rsidR="00CF590C" w:rsidRPr="0023795B" w:rsidRDefault="00CF590C" w:rsidP="00CF590C">
            <w:pPr>
              <w:rPr>
                <w:rFonts w:asciiTheme="majorHAnsi" w:hAnsiTheme="majorHAnsi" w:cstheme="majorHAnsi"/>
                <w:b/>
                <w:color w:val="FFFFFF"/>
                <w:szCs w:val="20"/>
              </w:rPr>
            </w:pPr>
            <w:r w:rsidRPr="0023795B">
              <w:rPr>
                <w:rFonts w:asciiTheme="majorHAnsi" w:hAnsiTheme="majorHAnsi" w:cstheme="majorHAnsi"/>
                <w:b/>
                <w:color w:val="FFFFFF"/>
                <w:szCs w:val="20"/>
              </w:rPr>
              <w:t>Osaamistavoitteet</w:t>
            </w:r>
          </w:p>
        </w:tc>
      </w:tr>
      <w:tr w:rsidR="00CF590C" w:rsidRPr="00595FDF" w14:paraId="26F6530E" w14:textId="77777777" w:rsidTr="0049308D">
        <w:tc>
          <w:tcPr>
            <w:tcW w:w="1204" w:type="dxa"/>
          </w:tcPr>
          <w:p w14:paraId="26F6530B" w14:textId="77777777" w:rsidR="00CF590C" w:rsidRPr="0023795B" w:rsidRDefault="00CF590C" w:rsidP="00CF590C">
            <w:pPr>
              <w:rPr>
                <w:rFonts w:asciiTheme="majorHAnsi" w:hAnsiTheme="majorHAnsi" w:cstheme="majorHAnsi"/>
                <w:b/>
                <w:szCs w:val="20"/>
              </w:rPr>
            </w:pPr>
            <w:r w:rsidRPr="0023795B">
              <w:rPr>
                <w:rFonts w:asciiTheme="majorHAnsi" w:hAnsiTheme="majorHAnsi" w:cstheme="majorHAnsi"/>
                <w:b/>
                <w:szCs w:val="20"/>
              </w:rPr>
              <w:t>1. vuosi</w:t>
            </w:r>
          </w:p>
        </w:tc>
        <w:tc>
          <w:tcPr>
            <w:tcW w:w="4253" w:type="dxa"/>
          </w:tcPr>
          <w:p w14:paraId="26F6530C" w14:textId="72C5FA23" w:rsidR="00CF590C" w:rsidRPr="0023795B" w:rsidRDefault="005D0589" w:rsidP="005D0589">
            <w:pPr>
              <w:rPr>
                <w:rFonts w:asciiTheme="majorHAnsi" w:hAnsiTheme="majorHAnsi" w:cstheme="majorHAnsi"/>
                <w:szCs w:val="20"/>
              </w:rPr>
            </w:pPr>
            <w:r>
              <w:rPr>
                <w:rFonts w:asciiTheme="majorHAnsi" w:hAnsiTheme="majorHAnsi" w:cstheme="majorHAnsi"/>
                <w:b/>
                <w:szCs w:val="20"/>
              </w:rPr>
              <w:t>Energiatalous – ja prosessit (45</w:t>
            </w:r>
            <w:r w:rsidR="00CF590C" w:rsidRPr="0023795B">
              <w:rPr>
                <w:rFonts w:asciiTheme="majorHAnsi" w:hAnsiTheme="majorHAnsi" w:cstheme="majorHAnsi"/>
                <w:b/>
                <w:szCs w:val="20"/>
              </w:rPr>
              <w:t xml:space="preserve"> op)</w:t>
            </w:r>
            <w:r w:rsidR="00CF590C" w:rsidRPr="0023795B">
              <w:rPr>
                <w:rFonts w:asciiTheme="majorHAnsi" w:hAnsiTheme="majorHAnsi" w:cstheme="majorHAnsi"/>
                <w:b/>
                <w:szCs w:val="20"/>
              </w:rPr>
              <w:br/>
            </w:r>
            <w:r>
              <w:rPr>
                <w:rFonts w:asciiTheme="majorHAnsi" w:hAnsiTheme="majorHAnsi" w:cstheme="majorHAnsi"/>
                <w:szCs w:val="20"/>
              </w:rPr>
              <w:t>Energiainsinöörin ammattiopinnot (45op)</w:t>
            </w:r>
          </w:p>
        </w:tc>
        <w:tc>
          <w:tcPr>
            <w:tcW w:w="4603" w:type="dxa"/>
          </w:tcPr>
          <w:p w14:paraId="26F6530D" w14:textId="424F0D95" w:rsidR="00CF590C" w:rsidRPr="0023795B" w:rsidRDefault="00B24BB2" w:rsidP="00CF590C">
            <w:pPr>
              <w:rPr>
                <w:rFonts w:asciiTheme="majorHAnsi" w:hAnsiTheme="majorHAnsi" w:cstheme="majorHAnsi"/>
                <w:szCs w:val="20"/>
              </w:rPr>
            </w:pPr>
            <w:r w:rsidRPr="00852047">
              <w:rPr>
                <w:rFonts w:ascii="Tahoma" w:hAnsi="Tahoma" w:cs="Tahoma"/>
                <w:szCs w:val="20"/>
              </w:rPr>
              <w:t>Opiskelija ymmärtää energiaprosessien suunnittelun taloudelliset ja tekniset reunaehdot. Opiskelija saa energiateknisten laitteiden ja prosessien suunnittelun ja mitoituksen perustiedot ja taidot. Opiskelijat pystyvät ratkaisemaan energia-alan käytännön teknisiä ongelmia ja tarpeita systemaattisesti tavoitteellisen projektisuunnittelun ja –työskentelyn kautta. Energia-alan osaaminen. Suunnittelun ja konealan perusosaaminen. Organisaatio- ja yhteiskuntaosaaminen.</w:t>
            </w:r>
          </w:p>
        </w:tc>
      </w:tr>
      <w:tr w:rsidR="00CF590C" w:rsidRPr="00595FDF" w14:paraId="26F65313" w14:textId="77777777" w:rsidTr="0049308D">
        <w:tc>
          <w:tcPr>
            <w:tcW w:w="1204" w:type="dxa"/>
          </w:tcPr>
          <w:p w14:paraId="26F6530F" w14:textId="77777777" w:rsidR="00CF590C" w:rsidRPr="0023795B" w:rsidRDefault="00CF590C" w:rsidP="00CF590C">
            <w:pPr>
              <w:rPr>
                <w:rFonts w:asciiTheme="majorHAnsi" w:hAnsiTheme="majorHAnsi" w:cstheme="majorHAnsi"/>
                <w:b/>
                <w:szCs w:val="20"/>
              </w:rPr>
            </w:pPr>
            <w:r w:rsidRPr="0023795B">
              <w:rPr>
                <w:rFonts w:asciiTheme="majorHAnsi" w:hAnsiTheme="majorHAnsi" w:cstheme="majorHAnsi"/>
                <w:b/>
                <w:szCs w:val="20"/>
              </w:rPr>
              <w:t>2. vuosi</w:t>
            </w:r>
          </w:p>
        </w:tc>
        <w:tc>
          <w:tcPr>
            <w:tcW w:w="4253" w:type="dxa"/>
          </w:tcPr>
          <w:p w14:paraId="26F65310" w14:textId="414193BD" w:rsidR="00CF590C" w:rsidRPr="0023795B" w:rsidRDefault="00B24BB2" w:rsidP="00CF590C">
            <w:pPr>
              <w:rPr>
                <w:rFonts w:asciiTheme="majorHAnsi" w:hAnsiTheme="majorHAnsi" w:cstheme="majorHAnsi"/>
                <w:b/>
                <w:szCs w:val="20"/>
              </w:rPr>
            </w:pPr>
            <w:r>
              <w:rPr>
                <w:rFonts w:asciiTheme="majorHAnsi" w:hAnsiTheme="majorHAnsi" w:cstheme="majorHAnsi"/>
                <w:b/>
                <w:szCs w:val="20"/>
              </w:rPr>
              <w:t>Bio- ja kiertotalouden suuntaavat opinnot (30op)</w:t>
            </w:r>
          </w:p>
          <w:p w14:paraId="522E2C2A" w14:textId="77777777" w:rsidR="00CF590C" w:rsidRDefault="00B24BB2" w:rsidP="00CF590C">
            <w:pPr>
              <w:rPr>
                <w:rFonts w:asciiTheme="majorHAnsi" w:hAnsiTheme="majorHAnsi" w:cstheme="majorHAnsi"/>
                <w:szCs w:val="20"/>
              </w:rPr>
            </w:pPr>
            <w:r>
              <w:rPr>
                <w:rFonts w:asciiTheme="majorHAnsi" w:hAnsiTheme="majorHAnsi" w:cstheme="majorHAnsi"/>
                <w:szCs w:val="20"/>
              </w:rPr>
              <w:t>Bio- ja kiertotalouden soveltavat opinnot (15op)</w:t>
            </w:r>
          </w:p>
          <w:p w14:paraId="26F65311" w14:textId="14EB59CF" w:rsidR="00B24BB2" w:rsidRPr="0023795B" w:rsidRDefault="00B24BB2" w:rsidP="00CF590C">
            <w:pPr>
              <w:rPr>
                <w:rFonts w:asciiTheme="majorHAnsi" w:hAnsiTheme="majorHAnsi" w:cstheme="majorHAnsi"/>
                <w:szCs w:val="20"/>
              </w:rPr>
            </w:pPr>
            <w:r>
              <w:rPr>
                <w:rFonts w:asciiTheme="majorHAnsi" w:hAnsiTheme="majorHAnsi" w:cstheme="majorHAnsi"/>
                <w:szCs w:val="20"/>
              </w:rPr>
              <w:t>Bio- ja kiertotalouden syventävät opinnot (15op)</w:t>
            </w:r>
          </w:p>
        </w:tc>
        <w:tc>
          <w:tcPr>
            <w:tcW w:w="4603" w:type="dxa"/>
          </w:tcPr>
          <w:p w14:paraId="26F65312" w14:textId="5161888E" w:rsidR="00CF590C" w:rsidRPr="0023795B" w:rsidRDefault="00B24BB2" w:rsidP="008B0C36">
            <w:pPr>
              <w:rPr>
                <w:rFonts w:asciiTheme="majorHAnsi" w:hAnsiTheme="majorHAnsi" w:cstheme="majorHAnsi"/>
                <w:szCs w:val="20"/>
              </w:rPr>
            </w:pPr>
            <w:r>
              <w:rPr>
                <w:rFonts w:asciiTheme="majorHAnsi" w:hAnsiTheme="majorHAnsi" w:cstheme="majorHAnsi"/>
                <w:szCs w:val="20"/>
              </w:rPr>
              <w:t>Opiskelija tuntee biopolttoaineiden tuotantoprosessit</w:t>
            </w:r>
            <w:r w:rsidR="008B0C36">
              <w:rPr>
                <w:rFonts w:asciiTheme="majorHAnsi" w:hAnsiTheme="majorHAnsi" w:cstheme="majorHAnsi"/>
                <w:szCs w:val="20"/>
              </w:rPr>
              <w:t>, metsäteollisuuden tärkeimmät prosessit</w:t>
            </w:r>
            <w:r>
              <w:rPr>
                <w:rFonts w:asciiTheme="majorHAnsi" w:hAnsiTheme="majorHAnsi" w:cstheme="majorHAnsi"/>
                <w:szCs w:val="20"/>
              </w:rPr>
              <w:t xml:space="preserve"> ja </w:t>
            </w:r>
            <w:r w:rsidR="008B0C36">
              <w:rPr>
                <w:rFonts w:asciiTheme="majorHAnsi" w:hAnsiTheme="majorHAnsi" w:cstheme="majorHAnsi"/>
                <w:szCs w:val="20"/>
              </w:rPr>
              <w:t xml:space="preserve">ymmärtää niiden ympäristövaikutukset kestävän kehityksen näkökulmasta. </w:t>
            </w:r>
            <w:r>
              <w:rPr>
                <w:rFonts w:asciiTheme="majorHAnsi" w:hAnsiTheme="majorHAnsi" w:cstheme="majorHAnsi"/>
                <w:szCs w:val="20"/>
              </w:rPr>
              <w:t xml:space="preserve">Opiskelija </w:t>
            </w:r>
            <w:r w:rsidR="008B0C36">
              <w:rPr>
                <w:rFonts w:asciiTheme="majorHAnsi" w:hAnsiTheme="majorHAnsi" w:cstheme="majorHAnsi"/>
                <w:szCs w:val="20"/>
              </w:rPr>
              <w:t>ymmärtää</w:t>
            </w:r>
            <w:r>
              <w:rPr>
                <w:rFonts w:asciiTheme="majorHAnsi" w:hAnsiTheme="majorHAnsi" w:cstheme="majorHAnsi"/>
                <w:szCs w:val="20"/>
              </w:rPr>
              <w:t xml:space="preserve"> kiertotalouden toimintamallin</w:t>
            </w:r>
            <w:r w:rsidR="008B0C36">
              <w:rPr>
                <w:rFonts w:asciiTheme="majorHAnsi" w:hAnsiTheme="majorHAnsi" w:cstheme="majorHAnsi"/>
                <w:szCs w:val="20"/>
              </w:rPr>
              <w:t xml:space="preserve"> ja –prosessin yhteisöjen ja yritysten näkökulmasta ja pystyy ratkaisemaan ja hallinnoimaan materiaali- ja sivuvirtoihin liittyviä käytännön </w:t>
            </w:r>
            <w:r w:rsidR="006163C0">
              <w:rPr>
                <w:rFonts w:asciiTheme="majorHAnsi" w:hAnsiTheme="majorHAnsi" w:cstheme="majorHAnsi"/>
                <w:szCs w:val="20"/>
              </w:rPr>
              <w:t>ongelmia ja tarpeita.</w:t>
            </w:r>
          </w:p>
        </w:tc>
      </w:tr>
    </w:tbl>
    <w:p w14:paraId="70476F1C" w14:textId="77777777" w:rsidR="005E2FD2" w:rsidRDefault="005E2FD2" w:rsidP="00612BE8">
      <w:pPr>
        <w:rPr>
          <w:snapToGrid w:val="0"/>
        </w:rPr>
      </w:pPr>
    </w:p>
    <w:p w14:paraId="43EC27D8" w14:textId="77777777" w:rsidR="005E2FD2" w:rsidRDefault="005E2FD2" w:rsidP="00612BE8">
      <w:pPr>
        <w:rPr>
          <w:snapToGrid w:val="0"/>
        </w:rPr>
      </w:pPr>
    </w:p>
    <w:p w14:paraId="28D98EDE" w14:textId="5B14B18C" w:rsidR="001E5430" w:rsidRDefault="00F558A2" w:rsidP="00612BE8">
      <w:pPr>
        <w:rPr>
          <w:snapToGrid w:val="0"/>
        </w:rPr>
      </w:pPr>
      <w:r>
        <w:rPr>
          <w:snapToGrid w:val="0"/>
        </w:rPr>
        <w:t>Asiantuntijuuden kehittymistä on kuvattu seuraavassa kaaviossa:</w:t>
      </w:r>
    </w:p>
    <w:p w14:paraId="125692C5" w14:textId="25460722" w:rsidR="00F558A2" w:rsidRDefault="005E2FD2" w:rsidP="00612BE8">
      <w:pPr>
        <w:rPr>
          <w:snapToGrid w:val="0"/>
        </w:rPr>
      </w:pPr>
      <w:r>
        <w:rPr>
          <w:noProof/>
          <w:snapToGrid w:val="0"/>
          <w:lang w:eastAsia="fi-FI"/>
        </w:rPr>
        <w:drawing>
          <wp:anchor distT="0" distB="0" distL="114300" distR="114300" simplePos="0" relativeHeight="251657216" behindDoc="0" locked="0" layoutInCell="1" allowOverlap="1" wp14:anchorId="511378AF" wp14:editId="21FFBB5A">
            <wp:simplePos x="0" y="0"/>
            <wp:positionH relativeFrom="margin">
              <wp:align>left</wp:align>
            </wp:positionH>
            <wp:positionV relativeFrom="paragraph">
              <wp:posOffset>34290</wp:posOffset>
            </wp:positionV>
            <wp:extent cx="5487670" cy="5035550"/>
            <wp:effectExtent l="0" t="0" r="0" b="0"/>
            <wp:wrapSquare wrapText="bothSides"/>
            <wp:docPr id="3" name="Kuv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87670" cy="50355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snapToGrid w:val="0"/>
          <w:lang w:eastAsia="fi-FI"/>
        </w:rPr>
        <w:drawing>
          <wp:anchor distT="0" distB="0" distL="114300" distR="114300" simplePos="0" relativeHeight="251658240" behindDoc="0" locked="0" layoutInCell="1" allowOverlap="1" wp14:anchorId="511378AF" wp14:editId="21FFBB5A">
            <wp:simplePos x="0" y="0"/>
            <wp:positionH relativeFrom="margin">
              <wp:align>left</wp:align>
            </wp:positionH>
            <wp:positionV relativeFrom="paragraph">
              <wp:posOffset>34290</wp:posOffset>
            </wp:positionV>
            <wp:extent cx="5487670" cy="5035550"/>
            <wp:effectExtent l="0" t="0" r="0" b="0"/>
            <wp:wrapSquare wrapText="bothSides"/>
            <wp:docPr id="1" name="Kuv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87670" cy="50355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21EDAD4" w14:textId="3B29C146" w:rsidR="00F558A2" w:rsidRPr="001E5430" w:rsidRDefault="00F558A2" w:rsidP="00612BE8">
      <w:pPr>
        <w:rPr>
          <w:snapToGrid w:val="0"/>
          <w:color w:val="FF0000"/>
        </w:rPr>
      </w:pPr>
    </w:p>
    <w:p w14:paraId="26F6531F" w14:textId="417EA220" w:rsidR="00CF590C" w:rsidRPr="00595FDF" w:rsidRDefault="00CF590C" w:rsidP="00CF590C">
      <w:pPr>
        <w:rPr>
          <w:rFonts w:cs="Calibri"/>
          <w:snapToGrid w:val="0"/>
          <w:sz w:val="24"/>
        </w:rPr>
      </w:pPr>
    </w:p>
    <w:p w14:paraId="26F65320" w14:textId="69329D9A" w:rsidR="0023795B" w:rsidRDefault="0023795B" w:rsidP="00CF590C">
      <w:pPr>
        <w:rPr>
          <w:rFonts w:cs="Calibri"/>
          <w:snapToGrid w:val="0"/>
          <w:sz w:val="24"/>
        </w:rPr>
      </w:pPr>
    </w:p>
    <w:p w14:paraId="74D7CA45" w14:textId="3E0D74C9" w:rsidR="005E2FD2" w:rsidRDefault="005E2FD2" w:rsidP="00C5268A">
      <w:pPr>
        <w:pStyle w:val="Heading2"/>
      </w:pPr>
      <w:bookmarkStart w:id="14" w:name="_Toc290881669"/>
    </w:p>
    <w:p w14:paraId="276DB4B2" w14:textId="0B4EBD1C" w:rsidR="00CF590C" w:rsidRPr="003F1F0A" w:rsidRDefault="00B01F65" w:rsidP="00C5268A">
      <w:pPr>
        <w:pStyle w:val="Heading2"/>
      </w:pPr>
      <w:r w:rsidRPr="005E2FD2">
        <w:br w:type="page"/>
      </w:r>
      <w:bookmarkStart w:id="15" w:name="_Toc513549497"/>
      <w:r w:rsidR="00CF590C" w:rsidRPr="007926AC">
        <w:rPr>
          <w:rFonts w:eastAsia="Calibri"/>
        </w:rPr>
        <w:t>1.5 Koulutuksen toteutus</w:t>
      </w:r>
      <w:bookmarkEnd w:id="14"/>
      <w:bookmarkEnd w:id="15"/>
    </w:p>
    <w:p w14:paraId="26F65327" w14:textId="6E27B834" w:rsidR="003721F0" w:rsidRPr="00230AD4" w:rsidRDefault="000A1ABA" w:rsidP="0057022A">
      <w:pPr>
        <w:rPr>
          <w:snapToGrid w:val="0"/>
        </w:rPr>
      </w:pPr>
      <w:r w:rsidRPr="00230AD4">
        <w:rPr>
          <w:snapToGrid w:val="0"/>
        </w:rPr>
        <w:t>Savoniassa pedagogisena lähtökohtana on Open Innovation Space (OIS 2.0) -malli. Se yhdistää laadukkaan koulutuksen sekä työelämäläheisen tutkimus- ja kehittämistoiminnan. Työelämäläheisessä koulutuksessa korostuvat opiskelijoiden motivaatio ja opintoihin sitoutuminen. Opiskelijoiden asiantuntijuuden kehittymistä edistetään erilaisissa oppimisympäristöissä, mahdollistamalla monimuotoinen, aikaan ja paikkaan sitomaton ympärivuotinen opiskelu sekä hy</w:t>
      </w:r>
      <w:r w:rsidR="00186713">
        <w:rPr>
          <w:snapToGrid w:val="0"/>
        </w:rPr>
        <w:t>ödyntämällä laajasti työn opinn</w:t>
      </w:r>
      <w:r w:rsidR="003342E4">
        <w:rPr>
          <w:snapToGrid w:val="0"/>
        </w:rPr>
        <w:t>o</w:t>
      </w:r>
      <w:r w:rsidRPr="00230AD4">
        <w:rPr>
          <w:snapToGrid w:val="0"/>
        </w:rPr>
        <w:t xml:space="preserve">llistamista. Opiskelijoiden kokonaisvaltainen ohjaus sekä aikaisemman osaamisen tunnistaminen ja tunnustaminen ovat osa opiskelijoiden henkilökohtaista opiskelusuunnitelmaa. </w:t>
      </w:r>
    </w:p>
    <w:p w14:paraId="26F65328" w14:textId="23A06C81" w:rsidR="00CF590C" w:rsidRDefault="00CF590C" w:rsidP="00417B0E">
      <w:pPr>
        <w:rPr>
          <w:snapToGrid w:val="0"/>
        </w:rPr>
      </w:pPr>
      <w:r w:rsidRPr="00612BE8">
        <w:t xml:space="preserve">Savonian koulutusten työelämälähtöisyys toteutuu opettajien monimuotoisen verkostoitumisen kautta. Verkostot varmistavat myös substanssiasiantuntijuuden jatkuvan kehittymisen. </w:t>
      </w:r>
      <w:r w:rsidRPr="00612BE8">
        <w:rPr>
          <w:snapToGrid w:val="0"/>
        </w:rPr>
        <w:t>Henkilöstö luo oppimistilanteita ja tukee opiskelijan oppimista.</w:t>
      </w:r>
      <w:r w:rsidRPr="00612BE8">
        <w:t xml:space="preserve"> </w:t>
      </w:r>
      <w:r w:rsidR="00F65CA8">
        <w:rPr>
          <w:snapToGrid w:val="0"/>
        </w:rPr>
        <w:t>Opiskelijapalvelut</w:t>
      </w:r>
      <w:r w:rsidRPr="00612BE8">
        <w:rPr>
          <w:snapToGrid w:val="0"/>
        </w:rPr>
        <w:t>, kirjasto- ja tietopalvelut, kans</w:t>
      </w:r>
      <w:r w:rsidR="00F65CA8">
        <w:rPr>
          <w:snapToGrid w:val="0"/>
        </w:rPr>
        <w:t>ainvälisyyspalvelut ja muut korkeakoulu</w:t>
      </w:r>
      <w:r w:rsidRPr="00612BE8">
        <w:rPr>
          <w:snapToGrid w:val="0"/>
        </w:rPr>
        <w:t>palvelut auttavat opiskelussa. Koulutuksessa noudatetaan esteettömyyden sekä kestävän kehityksen periaatteita.</w:t>
      </w:r>
    </w:p>
    <w:p w14:paraId="5C6F5ABE" w14:textId="465B2124" w:rsidR="00F846E1" w:rsidRDefault="00F846E1" w:rsidP="00417B0E">
      <w:pPr>
        <w:rPr>
          <w:snapToGrid w:val="0"/>
        </w:rPr>
      </w:pPr>
      <w:r>
        <w:rPr>
          <w:snapToGrid w:val="0"/>
        </w:rPr>
        <w:t>Bio- ja kiertotalouden muuntokoulutuksessa noudatetaan energiatekniikan tutkinto-ohjelman monimuotototeutuksien mukaista toteutustapaa.</w:t>
      </w:r>
    </w:p>
    <w:p w14:paraId="020AC323" w14:textId="7388EF1E" w:rsidR="003342E4" w:rsidRDefault="003342E4" w:rsidP="00EC6040">
      <w:pPr>
        <w:rPr>
          <w:rFonts w:cs="Calibri"/>
          <w:szCs w:val="20"/>
        </w:rPr>
      </w:pPr>
      <w:r>
        <w:rPr>
          <w:rFonts w:cs="Calibri"/>
          <w:szCs w:val="20"/>
        </w:rPr>
        <w:t>CDIO</w:t>
      </w:r>
    </w:p>
    <w:p w14:paraId="423600B3" w14:textId="034B7D18" w:rsidR="00EC6040" w:rsidRPr="00EC6040" w:rsidRDefault="00EC6040" w:rsidP="00EC6040">
      <w:pPr>
        <w:rPr>
          <w:rFonts w:cs="Calibri"/>
          <w:szCs w:val="20"/>
        </w:rPr>
      </w:pPr>
      <w:r w:rsidRPr="00EC6040">
        <w:rPr>
          <w:rFonts w:cs="Calibri"/>
          <w:szCs w:val="20"/>
        </w:rPr>
        <w:t>Energiatekniikan tutkinto-ohjelman pedagoginen viitekehys on CDIO (Concieve, Design, Implement, Operate = Määritä, Suunnittele, Toteuta, Ylläpidä), jonka mukaan toimien CDIO-periaatteita noudatetaan opetussuunnitelmatyössä, projekteissa, oppimisympäristöissä, opetusmenetelmissä, opetushenkilöstön osaamisen kehittämisessä ja arvioinnissa.</w:t>
      </w:r>
    </w:p>
    <w:p w14:paraId="33F35B67" w14:textId="0E5A774F" w:rsidR="00EC6040" w:rsidRPr="00EC6040" w:rsidRDefault="00EC6040" w:rsidP="00EC6040">
      <w:pPr>
        <w:rPr>
          <w:rFonts w:cs="Calibri"/>
          <w:szCs w:val="20"/>
        </w:rPr>
      </w:pPr>
      <w:r w:rsidRPr="00EC6040">
        <w:rPr>
          <w:rFonts w:cs="Calibri"/>
          <w:szCs w:val="20"/>
        </w:rPr>
        <w:t>CDIO perustuu ajatukseen, jonka mukaan tuotteiden ja järjestelmien elinkaari muodostaa insinöörikoulutuksen viitekehyksen. Tämä ajattelu sopii erityisen hyvin energiatekniikan tutkinto-ohjelmaan, missä määritellään, suunnitellaan, valmistetaan ja käytetään energiajärjestelmiä.</w:t>
      </w:r>
    </w:p>
    <w:p w14:paraId="1A06406F" w14:textId="574B5A37" w:rsidR="00EC6040" w:rsidRDefault="00EC6040" w:rsidP="00EC6040">
      <w:pPr>
        <w:rPr>
          <w:rFonts w:cs="Calibri"/>
          <w:szCs w:val="20"/>
        </w:rPr>
      </w:pPr>
      <w:r w:rsidRPr="00EC6040">
        <w:rPr>
          <w:rFonts w:cs="Calibri"/>
          <w:szCs w:val="20"/>
        </w:rPr>
        <w:t>CDIO lähestymistapa antaa hyvät valmiudet harjoitella jo opiskelun aikana taitoja ja toimintaa, joita tarvitaan valmistumisen jälkeen nykyaikaisessa tiimi- ja projektipohjaisessa työelämässä.</w:t>
      </w:r>
    </w:p>
    <w:p w14:paraId="00D0DC68" w14:textId="0237E5B3" w:rsidR="00EC6040" w:rsidRDefault="00EC6040" w:rsidP="00EC6040">
      <w:pPr>
        <w:rPr>
          <w:rFonts w:cs="Calibri"/>
          <w:szCs w:val="20"/>
        </w:rPr>
      </w:pPr>
      <w:r>
        <w:rPr>
          <w:rFonts w:cs="Calibri"/>
          <w:szCs w:val="20"/>
        </w:rPr>
        <w:t>Oppimisympäristö</w:t>
      </w:r>
    </w:p>
    <w:p w14:paraId="19BDF19B" w14:textId="301EE90B" w:rsidR="00EC6040" w:rsidRDefault="00F846E1" w:rsidP="00EC6040">
      <w:pPr>
        <w:rPr>
          <w:rFonts w:cs="Calibri"/>
          <w:szCs w:val="20"/>
        </w:rPr>
      </w:pPr>
      <w:r>
        <w:rPr>
          <w:rFonts w:cs="Calibri"/>
          <w:szCs w:val="20"/>
        </w:rPr>
        <w:t>Monimuotototeutuksessa käytetään erilaisia virtuaalisia oppimisympäristöjä kuten Moodle-oppimisalusta ja Zoom- videoneuvottelutyökalu. Lähipäivinä f</w:t>
      </w:r>
      <w:r w:rsidR="00EC6040" w:rsidRPr="00EC6040">
        <w:rPr>
          <w:rFonts w:cs="Calibri"/>
          <w:szCs w:val="20"/>
        </w:rPr>
        <w:t>yysinen oppimisympäristö kattaa sekä perinteiset tilat kuten luokkahuoneet, luentosalit, CAD- ja ATK-luokat sekä OIS-ryhmätyötilat, mutta myös energiatutkimuskeskuksen laboratorioita käytetään tukemassa mm. tuote- ja järjestelmäsuunnittelun taitojen oppimista integroidusti yhtä aikaa oppisisältöjen kanssa. Ympäristöt ovat tarkoituksenmukaisia, vuorovaikutteisia ja oppijakeskeisiä</w:t>
      </w:r>
      <w:r>
        <w:rPr>
          <w:rFonts w:cs="Calibri"/>
          <w:szCs w:val="20"/>
        </w:rPr>
        <w:t>.</w:t>
      </w:r>
    </w:p>
    <w:p w14:paraId="137B423D" w14:textId="30E1A7B4" w:rsidR="00EC6040" w:rsidRPr="00EC6040" w:rsidRDefault="00EC6040" w:rsidP="00EC6040">
      <w:pPr>
        <w:rPr>
          <w:rFonts w:cs="Calibri"/>
          <w:szCs w:val="20"/>
        </w:rPr>
      </w:pPr>
      <w:r w:rsidRPr="00EC6040">
        <w:rPr>
          <w:rFonts w:cs="Calibri"/>
          <w:szCs w:val="20"/>
        </w:rPr>
        <w:t>Pedagogiset ratkaisut</w:t>
      </w:r>
    </w:p>
    <w:p w14:paraId="7AA8E138" w14:textId="020B3BC1" w:rsidR="00EC6040" w:rsidRPr="00EC6040" w:rsidRDefault="00EC6040" w:rsidP="00EC6040">
      <w:pPr>
        <w:rPr>
          <w:rFonts w:cs="Calibri"/>
          <w:szCs w:val="20"/>
        </w:rPr>
      </w:pPr>
      <w:r w:rsidRPr="00EC6040">
        <w:rPr>
          <w:rFonts w:cs="Calibri"/>
          <w:szCs w:val="20"/>
        </w:rPr>
        <w:t xml:space="preserve">Edellä kuvatut käytännöllistä oppimista tukevat oppimisympäristöt ovat perusta projektitöille ja pedagogiikalle. Energiatekniikan tutkinto-ohjelmassa käytetään integroitua oppimista ja aktiivisia opetus- ja oppimismenetelmiä. Integroitu oppiminen tukee oppiainesisältöjen oppimista samanaikaisesti henkilökohtaisen, sosiaalisen sekä tuote- ja järjestelmäsuunnittelutaitojen kanssa. Siinä todelliset insinöörin työtehtävät sisältyvät tilanteisiin, joissa ne esiintyvät yhdessä oppiainesisältöjen kanssa. Yrityselämän kumppanit ja muut sidosryhmät ovat keskeisessä osassa projektitöiden kehittelyssä. Integroidun opetuksen avulla opettajat voivat tehokkaammin auttaa opiskelijoita soveltamaan oppiainesisältöjä käytännön tehtäviin. Aktiiviset opetusmenetelmät innostavat ajatteluun ja ongelmanratkaisuun pikemmin kuin passiiviseen tiedonjakamiseen. </w:t>
      </w:r>
    </w:p>
    <w:p w14:paraId="0C6F1CF0" w14:textId="251EC33E" w:rsidR="00494CF0" w:rsidRPr="00494CF0" w:rsidRDefault="00494CF0" w:rsidP="00494CF0">
      <w:pPr>
        <w:rPr>
          <w:rFonts w:cs="Calibri"/>
          <w:szCs w:val="20"/>
        </w:rPr>
      </w:pPr>
      <w:r w:rsidRPr="00494CF0">
        <w:rPr>
          <w:rFonts w:cs="Calibri"/>
          <w:szCs w:val="20"/>
        </w:rPr>
        <w:t>Työelämäyhteistyö</w:t>
      </w:r>
    </w:p>
    <w:p w14:paraId="1A28B821" w14:textId="2A70FAE1" w:rsidR="00CC5F97" w:rsidRDefault="00494CF0" w:rsidP="00494CF0">
      <w:pPr>
        <w:rPr>
          <w:rFonts w:cs="Calibri"/>
          <w:szCs w:val="20"/>
        </w:rPr>
      </w:pPr>
      <w:r w:rsidRPr="00494CF0">
        <w:rPr>
          <w:rFonts w:cs="Calibri"/>
          <w:szCs w:val="20"/>
        </w:rPr>
        <w:t xml:space="preserve">Valittuun pedagogiikkaan kuuluu läheinen yhteistyö yritysten ja muiden sidosryhmien kanssa, mistä ammennetaan projektitöitä ja projektityöaihioita, joita voidaan kehittää ja määritellä tutkinto-ohjelmassa projektien toteutussuunnitelmaksi. </w:t>
      </w:r>
      <w:r w:rsidR="00CC5F97">
        <w:rPr>
          <w:rFonts w:cs="Calibri"/>
          <w:szCs w:val="20"/>
        </w:rPr>
        <w:t>Bio- ja kiertotalouden muuntokoulutukseen sisältyy 10 opintopistettä projektiopintoja. Lisäksi suuntaavien opintojaksojen sisällä suunnitellaan ja toteutetaan monipuolisia case- tehtäviä. Projektityöt voidaan tehdä ryhmissä tai yksilötöinä riippuen aiheen laajuudesta.</w:t>
      </w:r>
    </w:p>
    <w:p w14:paraId="553CA3D5" w14:textId="7E81F648" w:rsidR="00494CF0" w:rsidRPr="00494CF0" w:rsidRDefault="00494CF0" w:rsidP="00494CF0">
      <w:pPr>
        <w:rPr>
          <w:rFonts w:cs="Calibri"/>
          <w:szCs w:val="20"/>
        </w:rPr>
      </w:pPr>
      <w:r w:rsidRPr="00494CF0">
        <w:rPr>
          <w:rFonts w:cs="Calibri"/>
          <w:szCs w:val="20"/>
        </w:rPr>
        <w:t>Kansainvälisyys</w:t>
      </w:r>
    </w:p>
    <w:p w14:paraId="6F0810D0" w14:textId="05F9779A" w:rsidR="00494CF0" w:rsidRPr="00494CF0" w:rsidRDefault="00494CF0" w:rsidP="00494CF0">
      <w:pPr>
        <w:rPr>
          <w:rFonts w:cs="Calibri"/>
          <w:szCs w:val="20"/>
        </w:rPr>
      </w:pPr>
      <w:r w:rsidRPr="00A9332F">
        <w:rPr>
          <w:rFonts w:cs="Calibri"/>
          <w:szCs w:val="20"/>
        </w:rPr>
        <w:t>Kansainvälisyys näkyy energiatekniikan tutkinto-ohjelman rakenteessa ja sisällöissä. Energiatekniikan tutkinto-ohjelma on suomenkielinen, mutta osa opinnoista (60 op) toteutetaan</w:t>
      </w:r>
      <w:r w:rsidR="00A9332F" w:rsidRPr="00A9332F">
        <w:rPr>
          <w:rFonts w:cs="Calibri"/>
          <w:szCs w:val="20"/>
        </w:rPr>
        <w:t xml:space="preserve"> tarvittaessa</w:t>
      </w:r>
      <w:r w:rsidRPr="00A9332F">
        <w:rPr>
          <w:rFonts w:cs="Calibri"/>
          <w:szCs w:val="20"/>
        </w:rPr>
        <w:t xml:space="preserve"> englannin kielellä. Tämä mahdollistaa ulkomaisten vaihto-opiskelijoiden opinnot energiatekniikan tutkinto-ohjelmassa. Tutkinto-ohjelma rakenne suosii ja tekee helpoksi vaihtoon ja KV-harjoitteluun hakeutumisen. </w:t>
      </w:r>
    </w:p>
    <w:p w14:paraId="180493D0" w14:textId="621037DD" w:rsidR="00494CF0" w:rsidRPr="00494CF0" w:rsidRDefault="00494CF0" w:rsidP="00494CF0">
      <w:pPr>
        <w:rPr>
          <w:rFonts w:cs="Calibri"/>
          <w:szCs w:val="20"/>
        </w:rPr>
      </w:pPr>
      <w:r w:rsidRPr="00494CF0">
        <w:rPr>
          <w:rFonts w:cs="Calibri"/>
          <w:szCs w:val="20"/>
        </w:rPr>
        <w:t>Ohjaus ja arviointi</w:t>
      </w:r>
    </w:p>
    <w:p w14:paraId="6ABD2B2F" w14:textId="40F198A3" w:rsidR="00494CF0" w:rsidRPr="00494CF0" w:rsidRDefault="00494CF0" w:rsidP="00494CF0">
      <w:pPr>
        <w:rPr>
          <w:rFonts w:cs="Calibri"/>
          <w:szCs w:val="20"/>
        </w:rPr>
      </w:pPr>
      <w:r w:rsidRPr="00494CF0">
        <w:rPr>
          <w:rFonts w:cs="Calibri"/>
          <w:szCs w:val="20"/>
        </w:rPr>
        <w:t xml:space="preserve">Opiskelijoiden oppimisen arviointi tapahtuu yleisesti sen mukaan, miten opiskelija saavuttaa määritellyt oppimistavoitteet. Oppimistavoitteita voivat olla: oppiainekohtaisia, henkilökohtaisia, sosiaalisia sekä esimerkiksi tuote- ja järjestelmäsuunnittelutiedot ja taidot. Opettajat arvioivat osaamistavoitteiden saavuttamista opintojaksoillaan. </w:t>
      </w:r>
    </w:p>
    <w:p w14:paraId="7589C283" w14:textId="510B146E" w:rsidR="00494CF0" w:rsidRPr="00494CF0" w:rsidRDefault="00494CF0" w:rsidP="00494CF0">
      <w:pPr>
        <w:rPr>
          <w:rFonts w:cs="Calibri"/>
          <w:szCs w:val="20"/>
        </w:rPr>
      </w:pPr>
      <w:r w:rsidRPr="00494CF0">
        <w:rPr>
          <w:rFonts w:cs="Calibri"/>
          <w:szCs w:val="20"/>
        </w:rPr>
        <w:t xml:space="preserve">Arviointimenetelmät voivat sisältää kirjallisia/suullisia kokeita, opiskelijoiden havainnointia, opiskelijoiden omaan reflektointia, oppimispäiväkirjoja, portfoliota sekä itse- ja vertaisarviointia. </w:t>
      </w:r>
    </w:p>
    <w:p w14:paraId="5480027D" w14:textId="48855042" w:rsidR="006E7B11" w:rsidRPr="00494CF0" w:rsidRDefault="00494CF0" w:rsidP="00417B0E">
      <w:pPr>
        <w:rPr>
          <w:rFonts w:cs="Calibri"/>
          <w:szCs w:val="20"/>
        </w:rPr>
      </w:pPr>
      <w:r w:rsidRPr="00494CF0">
        <w:rPr>
          <w:rFonts w:cs="Calibri"/>
          <w:szCs w:val="20"/>
        </w:rPr>
        <w:t>Opiskelun tukena on jokaisen opiskelijan oma henkilökohtainen opiskelusuunnitelma (HOPS), joka laaditaan yhdessä ohjaushenkilöstön kanssa. HOPS toimii sekä opintojen, harjoittelun että urasuunnittelun apuvälineenä.</w:t>
      </w:r>
    </w:p>
    <w:p w14:paraId="2E5A3100" w14:textId="74DDFC25" w:rsidR="00000986" w:rsidRPr="00C5268A" w:rsidRDefault="00000986" w:rsidP="00C5268A">
      <w:pPr>
        <w:rPr>
          <w:b/>
          <w:snapToGrid w:val="0"/>
          <w:color w:val="FF0000"/>
        </w:rPr>
      </w:pPr>
      <w:r w:rsidRPr="00C5268A">
        <w:rPr>
          <w:b/>
          <w:snapToGrid w:val="0"/>
        </w:rPr>
        <w:t>K</w:t>
      </w:r>
      <w:r w:rsidRPr="00C5268A">
        <w:rPr>
          <w:b/>
        </w:rPr>
        <w:t>oulutuksen toteutussuunnittelu ja opiskelijapalaute</w:t>
      </w:r>
    </w:p>
    <w:p w14:paraId="5516972E" w14:textId="77777777" w:rsidR="00000986" w:rsidRDefault="00000986" w:rsidP="00000986">
      <w:pPr>
        <w:rPr>
          <w:snapToGrid w:val="0"/>
        </w:rPr>
      </w:pPr>
      <w:r>
        <w:rPr>
          <w:snapToGrid w:val="0"/>
        </w:rPr>
        <w:t>Koulutuksen toteutussuunnittelu toteutetaan lukukausittain. Saman lukukauden aikana toteutettavat opintojaksot suunnitellaan yhtenä kokonaisuutena ja tästä laaditaan tutkinto-ohjelmittain toteutussuunnitelma. Toteutussuunnitelmassa tulee huomioida lukuvuositeemaan/ alateemaan linkittyvät osaamistavoitteet. Kompetenssien linkittyminen opintojaksoihin voidaan kuvata myös taulukkomuodossa.</w:t>
      </w:r>
    </w:p>
    <w:p w14:paraId="031EFAF3" w14:textId="18096238" w:rsidR="00483C49" w:rsidRPr="003309A1" w:rsidRDefault="00000986" w:rsidP="003309A1">
      <w:pPr>
        <w:rPr>
          <w:snapToGrid w:val="0"/>
        </w:rPr>
      </w:pPr>
      <w:r>
        <w:rPr>
          <w:snapToGrid w:val="0"/>
        </w:rPr>
        <w:t>Lukukaudesta kerätään määrällistä ja laadullista palautetta, joka käsitellään opiskelijoiden kanssa. Tämän lisäksi opiskelijalla on mahdollisuus a</w:t>
      </w:r>
      <w:r w:rsidR="004F4D2A">
        <w:rPr>
          <w:snapToGrid w:val="0"/>
        </w:rPr>
        <w:t xml:space="preserve">ntaa palautetta </w:t>
      </w:r>
      <w:r>
        <w:rPr>
          <w:snapToGrid w:val="0"/>
        </w:rPr>
        <w:t xml:space="preserve">Repun yleisen </w:t>
      </w:r>
      <w:r w:rsidR="004F4D2A">
        <w:rPr>
          <w:snapToGrid w:val="0"/>
        </w:rPr>
        <w:t>Kaiku-</w:t>
      </w:r>
      <w:r>
        <w:rPr>
          <w:snapToGrid w:val="0"/>
        </w:rPr>
        <w:t xml:space="preserve">palautejärjestelmän kautta. Palaute on mahdollista antaa omalla nimellä tai anonyymisti. Opettaja voi tämän lisäksi tarpeen tullen kerätä opintojaksoa koskevaa palautetta soveltuvalla menetelmällä. </w:t>
      </w:r>
      <w:r w:rsidR="004F4D2A">
        <w:rPr>
          <w:snapToGrid w:val="0"/>
        </w:rPr>
        <w:t>Kuvaus opintojaksopalautteen keräämisestä</w:t>
      </w:r>
      <w:r>
        <w:rPr>
          <w:snapToGrid w:val="0"/>
        </w:rPr>
        <w:t xml:space="preserve"> ja käsittely</w:t>
      </w:r>
      <w:r w:rsidR="004F4D2A">
        <w:rPr>
          <w:snapToGrid w:val="0"/>
        </w:rPr>
        <w:t>stä</w:t>
      </w:r>
      <w:r>
        <w:rPr>
          <w:snapToGrid w:val="0"/>
        </w:rPr>
        <w:t xml:space="preserve"> on sisällytettävä opintojakson toteutussuunnitelmaan. </w:t>
      </w:r>
    </w:p>
    <w:p w14:paraId="26F65389" w14:textId="77777777" w:rsidR="00D56F75" w:rsidRPr="00D56F75" w:rsidRDefault="00D56F75" w:rsidP="00D56F75"/>
    <w:sectPr w:rsidR="00D56F75" w:rsidRPr="00D56F75" w:rsidSect="00FE0343">
      <w:headerReference w:type="default" r:id="rId14"/>
      <w:footerReference w:type="default" r:id="rId15"/>
      <w:headerReference w:type="first" r:id="rId16"/>
      <w:pgSz w:w="11900" w:h="16840"/>
      <w:pgMar w:top="2095" w:right="1800" w:bottom="1440" w:left="1418" w:header="708" w:footer="708" w:gutter="0"/>
      <w:pgNumType w:start="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13D411" w14:textId="77777777" w:rsidR="00154012" w:rsidRDefault="00154012">
      <w:pPr>
        <w:spacing w:line="240" w:lineRule="auto"/>
      </w:pPr>
      <w:r>
        <w:separator/>
      </w:r>
    </w:p>
  </w:endnote>
  <w:endnote w:type="continuationSeparator" w:id="0">
    <w:p w14:paraId="658DC2C7" w14:textId="77777777" w:rsidR="00154012" w:rsidRDefault="0015401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F65392" w14:textId="77777777" w:rsidR="00112E8E" w:rsidRPr="00A676D3" w:rsidRDefault="00112E8E" w:rsidP="00A676D3">
    <w:pPr>
      <w:pStyle w:val="Header"/>
    </w:pPr>
    <w:r w:rsidRPr="002E64BE">
      <w:t>Savonia-ammattikorkeakoulu | PL 6, 70201 Kuopio | www.savonia.fi</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148710" w14:textId="77777777" w:rsidR="00154012" w:rsidRDefault="00154012">
      <w:pPr>
        <w:spacing w:line="240" w:lineRule="auto"/>
      </w:pPr>
      <w:r>
        <w:separator/>
      </w:r>
    </w:p>
  </w:footnote>
  <w:footnote w:type="continuationSeparator" w:id="0">
    <w:p w14:paraId="1C909D51" w14:textId="77777777" w:rsidR="00154012" w:rsidRDefault="0015401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F65390" w14:textId="512B71DB" w:rsidR="00112E8E" w:rsidRDefault="00112E8E" w:rsidP="005C37BB">
    <w:pPr>
      <w:pStyle w:val="Header"/>
      <w:ind w:left="3600"/>
    </w:pPr>
    <w:r w:rsidRPr="00BF7041">
      <w:rPr>
        <w:b/>
        <w:noProof/>
        <w:lang w:eastAsia="fi-FI"/>
      </w:rPr>
      <w:drawing>
        <wp:anchor distT="0" distB="0" distL="114300" distR="114300" simplePos="0" relativeHeight="251709440" behindDoc="1" locked="0" layoutInCell="1" allowOverlap="1" wp14:anchorId="26F65394" wp14:editId="26F65395">
          <wp:simplePos x="0" y="0"/>
          <wp:positionH relativeFrom="column">
            <wp:posOffset>-909955</wp:posOffset>
          </wp:positionH>
          <wp:positionV relativeFrom="paragraph">
            <wp:posOffset>-449580</wp:posOffset>
          </wp:positionV>
          <wp:extent cx="7400925" cy="1304925"/>
          <wp:effectExtent l="0" t="0" r="0" b="0"/>
          <wp:wrapNone/>
          <wp:docPr id="31" name="Kuva 31" descr="Savonia_Word_tunnis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vonia_Word_tunniste"/>
                  <pic:cNvPicPr>
                    <a:picLocks noChangeAspect="1" noChangeArrowheads="1"/>
                  </pic:cNvPicPr>
                </pic:nvPicPr>
                <pic:blipFill rotWithShape="1">
                  <a:blip r:embed="rId1">
                    <a:extLst>
                      <a:ext uri="{28A0092B-C50C-407E-A947-70E740481C1C}">
                        <a14:useLocalDpi xmlns:a14="http://schemas.microsoft.com/office/drawing/2010/main" val="0"/>
                      </a:ext>
                    </a:extLst>
                  </a:blip>
                  <a:srcRect r="2051"/>
                  <a:stretch/>
                </pic:blipFill>
                <pic:spPr bwMode="auto">
                  <a:xfrm>
                    <a:off x="0" y="0"/>
                    <a:ext cx="7400925" cy="1304925"/>
                  </a:xfrm>
                  <a:prstGeom prst="rect">
                    <a:avLst/>
                  </a:prstGeom>
                  <a:noFill/>
                  <a:ln>
                    <a:noFill/>
                  </a:ln>
                  <a:extLst>
                    <a:ext uri="{53640926-AAD7-44D8-BBD7-CCE9431645EC}">
                      <a14:shadowObscured xmlns:a14="http://schemas.microsoft.com/office/drawing/2010/main"/>
                    </a:ext>
                  </a:extLst>
                </pic:spPr>
              </pic:pic>
            </a:graphicData>
          </a:graphic>
        </wp:anchor>
      </w:drawing>
    </w:r>
    <w:r w:rsidR="00645441">
      <w:rPr>
        <w:b/>
      </w:rPr>
      <w:t>Bio- ja kiertotalouden muunto-</w:t>
    </w:r>
    <w:r>
      <w:tab/>
    </w:r>
    <w:r>
      <w:tab/>
    </w:r>
    <w:r>
      <w:tab/>
    </w:r>
    <w:r w:rsidRPr="00CD2C23">
      <w:fldChar w:fldCharType="begin"/>
    </w:r>
    <w:r w:rsidRPr="00CD2C23">
      <w:instrText>PAGE  \* Arabic  \* MERGEFORMAT</w:instrText>
    </w:r>
    <w:r w:rsidRPr="00CD2C23">
      <w:fldChar w:fldCharType="separate"/>
    </w:r>
    <w:r w:rsidR="009F5AAD">
      <w:rPr>
        <w:noProof/>
      </w:rPr>
      <w:t>2</w:t>
    </w:r>
    <w:r w:rsidRPr="00CD2C23">
      <w:fldChar w:fldCharType="end"/>
    </w:r>
    <w:r w:rsidRPr="00CD2C23">
      <w:t xml:space="preserve"> / </w:t>
    </w:r>
    <w:fldSimple w:instr="NUMPAGES  \* Arabic  \* MERGEFORMAT">
      <w:r w:rsidR="009F5AAD">
        <w:rPr>
          <w:noProof/>
        </w:rPr>
        <w:t>12</w:t>
      </w:r>
    </w:fldSimple>
    <w:r w:rsidRPr="00CD2C23">
      <w:t xml:space="preserve"> </w:t>
    </w:r>
    <w:r w:rsidRPr="00CD2C23">
      <w:br/>
    </w:r>
    <w:r w:rsidR="00645441">
      <w:rPr>
        <w:b/>
      </w:rPr>
      <w:t>koulutus OPS energia</w:t>
    </w:r>
  </w:p>
  <w:p w14:paraId="26F65391" w14:textId="111585C4" w:rsidR="00112E8E" w:rsidRPr="00B6726E" w:rsidRDefault="00112E8E" w:rsidP="005C37BB">
    <w:pPr>
      <w:pStyle w:val="Header"/>
      <w:ind w:left="3600"/>
    </w:pPr>
    <w:r>
      <w:fldChar w:fldCharType="begin"/>
    </w:r>
    <w:r>
      <w:instrText xml:space="preserve"> TIME \@ "d.M.yyyy" </w:instrText>
    </w:r>
    <w:r>
      <w:fldChar w:fldCharType="separate"/>
    </w:r>
    <w:r w:rsidR="009F5AAD">
      <w:rPr>
        <w:noProof/>
      </w:rPr>
      <w:t>1.6.2018</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F65393" w14:textId="77777777" w:rsidR="00112E8E" w:rsidRDefault="00112E8E" w:rsidP="00B22E97">
    <w:pPr>
      <w:pStyle w:val="Header"/>
      <w:ind w:left="3600"/>
      <w:jc w:val="right"/>
    </w:pPr>
    <w:r>
      <w:rPr>
        <w:noProof/>
        <w:lang w:eastAsia="fi-FI"/>
      </w:rPr>
      <mc:AlternateContent>
        <mc:Choice Requires="wps">
          <w:drawing>
            <wp:anchor distT="0" distB="0" distL="114300" distR="114300" simplePos="0" relativeHeight="251658240" behindDoc="0" locked="0" layoutInCell="1" allowOverlap="1" wp14:anchorId="26F65396" wp14:editId="26F65397">
              <wp:simplePos x="0" y="0"/>
              <wp:positionH relativeFrom="column">
                <wp:posOffset>-918210</wp:posOffset>
              </wp:positionH>
              <wp:positionV relativeFrom="paragraph">
                <wp:posOffset>887095</wp:posOffset>
              </wp:positionV>
              <wp:extent cx="7581900" cy="9370060"/>
              <wp:effectExtent l="0" t="0" r="0" b="2540"/>
              <wp:wrapNone/>
              <wp:docPr id="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81900" cy="9370060"/>
                      </a:xfrm>
                      <a:prstGeom prst="rect">
                        <a:avLst/>
                      </a:prstGeom>
                      <a:solidFill>
                        <a:schemeClr val="accent4"/>
                      </a:solidFill>
                      <a:ln>
                        <a:noFill/>
                      </a:ln>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30A4E345" id="Rectangle 1" o:spid="_x0000_s1026" style="position:absolute;margin-left:-72.3pt;margin-top:69.85pt;width:597pt;height:737.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" fillcolor="#00accd [3207]" stroked="f"/>
          </w:pict>
        </mc:Fallback>
      </mc:AlternateContent>
    </w:r>
    <w:r>
      <w:rPr>
        <w:noProof/>
        <w:szCs w:val="20"/>
        <w:lang w:eastAsia="fi-FI"/>
      </w:rPr>
      <w:drawing>
        <wp:anchor distT="0" distB="0" distL="114300" distR="114300" simplePos="0" relativeHeight="251615232" behindDoc="1" locked="0" layoutInCell="1" allowOverlap="1" wp14:anchorId="26F65398" wp14:editId="26F65399">
          <wp:simplePos x="0" y="0"/>
          <wp:positionH relativeFrom="column">
            <wp:posOffset>-909955</wp:posOffset>
          </wp:positionH>
          <wp:positionV relativeFrom="paragraph">
            <wp:posOffset>-459105</wp:posOffset>
          </wp:positionV>
          <wp:extent cx="7400925" cy="1304925"/>
          <wp:effectExtent l="0" t="0" r="0" b="0"/>
          <wp:wrapNone/>
          <wp:docPr id="32" name="Kuva 32" descr="Savonia_Word_tunnis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vonia_Word_tunniste"/>
                  <pic:cNvPicPr>
                    <a:picLocks noChangeAspect="1" noChangeArrowheads="1"/>
                  </pic:cNvPicPr>
                </pic:nvPicPr>
                <pic:blipFill rotWithShape="1">
                  <a:blip r:embed="rId1">
                    <a:extLst>
                      <a:ext uri="{28A0092B-C50C-407E-A947-70E740481C1C}">
                        <a14:useLocalDpi xmlns:a14="http://schemas.microsoft.com/office/drawing/2010/main" val="0"/>
                      </a:ext>
                    </a:extLst>
                  </a:blip>
                  <a:srcRect r="2051"/>
                  <a:stretch/>
                </pic:blipFill>
                <pic:spPr bwMode="auto">
                  <a:xfrm>
                    <a:off x="0" y="0"/>
                    <a:ext cx="7418932" cy="1308100"/>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4765B8"/>
    <w:multiLevelType w:val="hybridMultilevel"/>
    <w:tmpl w:val="0FFC971E"/>
    <w:lvl w:ilvl="0" w:tplc="040B0005">
      <w:start w:val="1"/>
      <w:numFmt w:val="bullet"/>
      <w:lvlText w:val=""/>
      <w:lvlJc w:val="left"/>
      <w:pPr>
        <w:tabs>
          <w:tab w:val="num" w:pos="720"/>
        </w:tabs>
        <w:ind w:left="720" w:hanging="360"/>
      </w:pPr>
      <w:rPr>
        <w:rFonts w:ascii="Wingdings" w:hAnsi="Wingdings"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3E6FC0"/>
    <w:multiLevelType w:val="hybridMultilevel"/>
    <w:tmpl w:val="CA5E2568"/>
    <w:lvl w:ilvl="0" w:tplc="040B0005">
      <w:start w:val="1"/>
      <w:numFmt w:val="bullet"/>
      <w:lvlText w:val=""/>
      <w:lvlJc w:val="left"/>
      <w:pPr>
        <w:tabs>
          <w:tab w:val="num" w:pos="720"/>
        </w:tabs>
        <w:ind w:left="720" w:hanging="360"/>
      </w:pPr>
      <w:rPr>
        <w:rFonts w:ascii="Wingdings" w:hAnsi="Wingdings"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ACD2B94"/>
    <w:multiLevelType w:val="hybridMultilevel"/>
    <w:tmpl w:val="1DCA4D2E"/>
    <w:lvl w:ilvl="0" w:tplc="040B0005">
      <w:start w:val="1"/>
      <w:numFmt w:val="bullet"/>
      <w:lvlText w:val=""/>
      <w:lvlJc w:val="left"/>
      <w:pPr>
        <w:tabs>
          <w:tab w:val="num" w:pos="720"/>
        </w:tabs>
        <w:ind w:left="720" w:hanging="360"/>
      </w:pPr>
      <w:rPr>
        <w:rFonts w:ascii="Wingdings" w:hAnsi="Wingdings"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56F32BF"/>
    <w:multiLevelType w:val="hybridMultilevel"/>
    <w:tmpl w:val="586A6CE8"/>
    <w:lvl w:ilvl="0" w:tplc="FE2202D8">
      <w:numFmt w:val="bullet"/>
      <w:lvlText w:val="-"/>
      <w:lvlJc w:val="left"/>
      <w:pPr>
        <w:ind w:left="405" w:hanging="360"/>
      </w:pPr>
      <w:rPr>
        <w:rFonts w:ascii="Arial" w:eastAsia="Times New Roman" w:hAnsi="Arial" w:cs="Arial" w:hint="default"/>
      </w:rPr>
    </w:lvl>
    <w:lvl w:ilvl="1" w:tplc="040B0003" w:tentative="1">
      <w:start w:val="1"/>
      <w:numFmt w:val="bullet"/>
      <w:lvlText w:val="o"/>
      <w:lvlJc w:val="left"/>
      <w:pPr>
        <w:ind w:left="1125" w:hanging="360"/>
      </w:pPr>
      <w:rPr>
        <w:rFonts w:ascii="Courier New" w:hAnsi="Courier New" w:cs="Courier New" w:hint="default"/>
      </w:rPr>
    </w:lvl>
    <w:lvl w:ilvl="2" w:tplc="040B0005" w:tentative="1">
      <w:start w:val="1"/>
      <w:numFmt w:val="bullet"/>
      <w:lvlText w:val=""/>
      <w:lvlJc w:val="left"/>
      <w:pPr>
        <w:ind w:left="1845" w:hanging="360"/>
      </w:pPr>
      <w:rPr>
        <w:rFonts w:ascii="Wingdings" w:hAnsi="Wingdings" w:hint="default"/>
      </w:rPr>
    </w:lvl>
    <w:lvl w:ilvl="3" w:tplc="040B0001" w:tentative="1">
      <w:start w:val="1"/>
      <w:numFmt w:val="bullet"/>
      <w:lvlText w:val=""/>
      <w:lvlJc w:val="left"/>
      <w:pPr>
        <w:ind w:left="2565" w:hanging="360"/>
      </w:pPr>
      <w:rPr>
        <w:rFonts w:ascii="Symbol" w:hAnsi="Symbol" w:hint="default"/>
      </w:rPr>
    </w:lvl>
    <w:lvl w:ilvl="4" w:tplc="040B0003" w:tentative="1">
      <w:start w:val="1"/>
      <w:numFmt w:val="bullet"/>
      <w:lvlText w:val="o"/>
      <w:lvlJc w:val="left"/>
      <w:pPr>
        <w:ind w:left="3285" w:hanging="360"/>
      </w:pPr>
      <w:rPr>
        <w:rFonts w:ascii="Courier New" w:hAnsi="Courier New" w:cs="Courier New" w:hint="default"/>
      </w:rPr>
    </w:lvl>
    <w:lvl w:ilvl="5" w:tplc="040B0005" w:tentative="1">
      <w:start w:val="1"/>
      <w:numFmt w:val="bullet"/>
      <w:lvlText w:val=""/>
      <w:lvlJc w:val="left"/>
      <w:pPr>
        <w:ind w:left="4005" w:hanging="360"/>
      </w:pPr>
      <w:rPr>
        <w:rFonts w:ascii="Wingdings" w:hAnsi="Wingdings" w:hint="default"/>
      </w:rPr>
    </w:lvl>
    <w:lvl w:ilvl="6" w:tplc="040B0001" w:tentative="1">
      <w:start w:val="1"/>
      <w:numFmt w:val="bullet"/>
      <w:lvlText w:val=""/>
      <w:lvlJc w:val="left"/>
      <w:pPr>
        <w:ind w:left="4725" w:hanging="360"/>
      </w:pPr>
      <w:rPr>
        <w:rFonts w:ascii="Symbol" w:hAnsi="Symbol" w:hint="default"/>
      </w:rPr>
    </w:lvl>
    <w:lvl w:ilvl="7" w:tplc="040B0003" w:tentative="1">
      <w:start w:val="1"/>
      <w:numFmt w:val="bullet"/>
      <w:lvlText w:val="o"/>
      <w:lvlJc w:val="left"/>
      <w:pPr>
        <w:ind w:left="5445" w:hanging="360"/>
      </w:pPr>
      <w:rPr>
        <w:rFonts w:ascii="Courier New" w:hAnsi="Courier New" w:cs="Courier New" w:hint="default"/>
      </w:rPr>
    </w:lvl>
    <w:lvl w:ilvl="8" w:tplc="040B0005" w:tentative="1">
      <w:start w:val="1"/>
      <w:numFmt w:val="bullet"/>
      <w:lvlText w:val=""/>
      <w:lvlJc w:val="left"/>
      <w:pPr>
        <w:ind w:left="6165" w:hanging="360"/>
      </w:pPr>
      <w:rPr>
        <w:rFonts w:ascii="Wingdings" w:hAnsi="Wingdings" w:hint="default"/>
      </w:rPr>
    </w:lvl>
  </w:abstractNum>
  <w:abstractNum w:abstractNumId="4" w15:restartNumberingAfterBreak="0">
    <w:nsid w:val="3A396A68"/>
    <w:multiLevelType w:val="hybridMultilevel"/>
    <w:tmpl w:val="7EC48174"/>
    <w:lvl w:ilvl="0" w:tplc="BEEA8A42">
      <w:start w:val="1"/>
      <w:numFmt w:val="bullet"/>
      <w:pStyle w:val="ListParagraph"/>
      <w:lvlText w:val="»"/>
      <w:lvlJc w:val="left"/>
      <w:pPr>
        <w:ind w:left="2988" w:hanging="360"/>
      </w:pPr>
      <w:rPr>
        <w:rFonts w:ascii="Georgia" w:hAnsi="Georgia" w:hint="default"/>
      </w:rPr>
    </w:lvl>
    <w:lvl w:ilvl="1" w:tplc="040B0003" w:tentative="1">
      <w:start w:val="1"/>
      <w:numFmt w:val="bullet"/>
      <w:lvlText w:val="o"/>
      <w:lvlJc w:val="left"/>
      <w:pPr>
        <w:ind w:left="3708" w:hanging="360"/>
      </w:pPr>
      <w:rPr>
        <w:rFonts w:ascii="Courier New" w:hAnsi="Courier New" w:cs="Courier New" w:hint="default"/>
      </w:rPr>
    </w:lvl>
    <w:lvl w:ilvl="2" w:tplc="040B0005" w:tentative="1">
      <w:start w:val="1"/>
      <w:numFmt w:val="bullet"/>
      <w:lvlText w:val=""/>
      <w:lvlJc w:val="left"/>
      <w:pPr>
        <w:ind w:left="4428" w:hanging="360"/>
      </w:pPr>
      <w:rPr>
        <w:rFonts w:ascii="Wingdings" w:hAnsi="Wingdings" w:hint="default"/>
      </w:rPr>
    </w:lvl>
    <w:lvl w:ilvl="3" w:tplc="040B0001" w:tentative="1">
      <w:start w:val="1"/>
      <w:numFmt w:val="bullet"/>
      <w:lvlText w:val=""/>
      <w:lvlJc w:val="left"/>
      <w:pPr>
        <w:ind w:left="5148" w:hanging="360"/>
      </w:pPr>
      <w:rPr>
        <w:rFonts w:ascii="Symbol" w:hAnsi="Symbol" w:hint="default"/>
      </w:rPr>
    </w:lvl>
    <w:lvl w:ilvl="4" w:tplc="040B0003" w:tentative="1">
      <w:start w:val="1"/>
      <w:numFmt w:val="bullet"/>
      <w:lvlText w:val="o"/>
      <w:lvlJc w:val="left"/>
      <w:pPr>
        <w:ind w:left="5868" w:hanging="360"/>
      </w:pPr>
      <w:rPr>
        <w:rFonts w:ascii="Courier New" w:hAnsi="Courier New" w:cs="Courier New" w:hint="default"/>
      </w:rPr>
    </w:lvl>
    <w:lvl w:ilvl="5" w:tplc="040B0005" w:tentative="1">
      <w:start w:val="1"/>
      <w:numFmt w:val="bullet"/>
      <w:lvlText w:val=""/>
      <w:lvlJc w:val="left"/>
      <w:pPr>
        <w:ind w:left="6588" w:hanging="360"/>
      </w:pPr>
      <w:rPr>
        <w:rFonts w:ascii="Wingdings" w:hAnsi="Wingdings" w:hint="default"/>
      </w:rPr>
    </w:lvl>
    <w:lvl w:ilvl="6" w:tplc="040B0001" w:tentative="1">
      <w:start w:val="1"/>
      <w:numFmt w:val="bullet"/>
      <w:lvlText w:val=""/>
      <w:lvlJc w:val="left"/>
      <w:pPr>
        <w:ind w:left="7308" w:hanging="360"/>
      </w:pPr>
      <w:rPr>
        <w:rFonts w:ascii="Symbol" w:hAnsi="Symbol" w:hint="default"/>
      </w:rPr>
    </w:lvl>
    <w:lvl w:ilvl="7" w:tplc="040B0003" w:tentative="1">
      <w:start w:val="1"/>
      <w:numFmt w:val="bullet"/>
      <w:lvlText w:val="o"/>
      <w:lvlJc w:val="left"/>
      <w:pPr>
        <w:ind w:left="8028" w:hanging="360"/>
      </w:pPr>
      <w:rPr>
        <w:rFonts w:ascii="Courier New" w:hAnsi="Courier New" w:cs="Courier New" w:hint="default"/>
      </w:rPr>
    </w:lvl>
    <w:lvl w:ilvl="8" w:tplc="040B0005" w:tentative="1">
      <w:start w:val="1"/>
      <w:numFmt w:val="bullet"/>
      <w:lvlText w:val=""/>
      <w:lvlJc w:val="left"/>
      <w:pPr>
        <w:ind w:left="8748" w:hanging="360"/>
      </w:pPr>
      <w:rPr>
        <w:rFonts w:ascii="Wingdings" w:hAnsi="Wingdings" w:hint="default"/>
      </w:rPr>
    </w:lvl>
  </w:abstractNum>
  <w:abstractNum w:abstractNumId="5" w15:restartNumberingAfterBreak="0">
    <w:nsid w:val="488422D8"/>
    <w:multiLevelType w:val="hybridMultilevel"/>
    <w:tmpl w:val="ECAE98BC"/>
    <w:lvl w:ilvl="0" w:tplc="040B0005">
      <w:start w:val="1"/>
      <w:numFmt w:val="bullet"/>
      <w:lvlText w:val=""/>
      <w:lvlJc w:val="left"/>
      <w:pPr>
        <w:tabs>
          <w:tab w:val="num" w:pos="720"/>
        </w:tabs>
        <w:ind w:left="720" w:hanging="360"/>
      </w:pPr>
      <w:rPr>
        <w:rFonts w:ascii="Wingdings" w:hAnsi="Wingdings"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ED83C0D"/>
    <w:multiLevelType w:val="hybridMultilevel"/>
    <w:tmpl w:val="981287FC"/>
    <w:lvl w:ilvl="0" w:tplc="7430F5FC">
      <w:start w:val="6"/>
      <w:numFmt w:val="bullet"/>
      <w:lvlText w:val="-"/>
      <w:lvlJc w:val="left"/>
      <w:pPr>
        <w:ind w:left="720" w:hanging="360"/>
      </w:pPr>
      <w:rPr>
        <w:rFonts w:ascii="Times New Roman" w:eastAsia="Times New Roman" w:hAnsi="Times New Roman"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167E2ED2">
      <w:start w:val="1"/>
      <w:numFmt w:val="bullet"/>
      <w:lvlText w:val=""/>
      <w:lvlJc w:val="left"/>
      <w:pPr>
        <w:ind w:left="2160" w:hanging="360"/>
      </w:pPr>
      <w:rPr>
        <w:rFonts w:ascii="Wingdings" w:hAnsi="Wingdings" w:hint="default"/>
        <w:color w:val="auto"/>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68A0983"/>
    <w:multiLevelType w:val="hybridMultilevel"/>
    <w:tmpl w:val="1F9C26A2"/>
    <w:lvl w:ilvl="0" w:tplc="040B0005">
      <w:start w:val="1"/>
      <w:numFmt w:val="bullet"/>
      <w:lvlText w:val=""/>
      <w:lvlJc w:val="left"/>
      <w:pPr>
        <w:tabs>
          <w:tab w:val="num" w:pos="720"/>
        </w:tabs>
        <w:ind w:left="720" w:hanging="360"/>
      </w:pPr>
      <w:rPr>
        <w:rFonts w:ascii="Wingdings" w:hAnsi="Wingdings"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D06608B"/>
    <w:multiLevelType w:val="hybridMultilevel"/>
    <w:tmpl w:val="7674CDAA"/>
    <w:lvl w:ilvl="0" w:tplc="DBA86B1C">
      <w:numFmt w:val="bullet"/>
      <w:lvlText w:val="-"/>
      <w:lvlJc w:val="left"/>
      <w:pPr>
        <w:ind w:left="360" w:hanging="360"/>
      </w:pPr>
      <w:rPr>
        <w:rFonts w:ascii="Arial" w:eastAsia="Times New Roman" w:hAnsi="Arial" w:cs="Arial" w:hint="default"/>
        <w:color w:val="auto"/>
      </w:rPr>
    </w:lvl>
    <w:lvl w:ilvl="1" w:tplc="040B0003">
      <w:start w:val="1"/>
      <w:numFmt w:val="bullet"/>
      <w:lvlText w:val="o"/>
      <w:lvlJc w:val="left"/>
      <w:pPr>
        <w:ind w:left="1080" w:hanging="360"/>
      </w:pPr>
      <w:rPr>
        <w:rFonts w:ascii="Courier New" w:hAnsi="Courier New" w:cs="Courier New" w:hint="default"/>
      </w:rPr>
    </w:lvl>
    <w:lvl w:ilvl="2" w:tplc="040B0005">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9" w15:restartNumberingAfterBreak="0">
    <w:nsid w:val="7021701D"/>
    <w:multiLevelType w:val="hybridMultilevel"/>
    <w:tmpl w:val="93EC6420"/>
    <w:lvl w:ilvl="0" w:tplc="040B0005">
      <w:start w:val="1"/>
      <w:numFmt w:val="bullet"/>
      <w:lvlText w:val=""/>
      <w:lvlJc w:val="left"/>
      <w:pPr>
        <w:tabs>
          <w:tab w:val="num" w:pos="720"/>
        </w:tabs>
        <w:ind w:left="720" w:hanging="360"/>
      </w:pPr>
      <w:rPr>
        <w:rFonts w:ascii="Wingdings" w:hAnsi="Wingdings"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3F25F18"/>
    <w:multiLevelType w:val="hybridMultilevel"/>
    <w:tmpl w:val="3E6E7250"/>
    <w:lvl w:ilvl="0" w:tplc="06A68522">
      <w:start w:val="6"/>
      <w:numFmt w:val="bullet"/>
      <w:pStyle w:val="Groteskilista"/>
      <w:lvlText w:val="-"/>
      <w:lvlJc w:val="left"/>
      <w:pPr>
        <w:ind w:left="360" w:hanging="360"/>
      </w:pPr>
      <w:rPr>
        <w:rFonts w:ascii="Times New Roman" w:eastAsia="Times New Roman" w:hAnsi="Times New Roman" w:cs="Times New Roman" w:hint="default"/>
        <w:color w:val="auto"/>
      </w:rPr>
    </w:lvl>
    <w:lvl w:ilvl="1" w:tplc="040B0003">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1" w15:restartNumberingAfterBreak="0">
    <w:nsid w:val="7DC951B1"/>
    <w:multiLevelType w:val="hybridMultilevel"/>
    <w:tmpl w:val="6778D0A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6"/>
  </w:num>
  <w:num w:numId="2">
    <w:abstractNumId w:val="10"/>
  </w:num>
  <w:num w:numId="3">
    <w:abstractNumId w:val="4"/>
  </w:num>
  <w:num w:numId="4">
    <w:abstractNumId w:val="1"/>
  </w:num>
  <w:num w:numId="5">
    <w:abstractNumId w:val="9"/>
  </w:num>
  <w:num w:numId="6">
    <w:abstractNumId w:val="2"/>
  </w:num>
  <w:num w:numId="7">
    <w:abstractNumId w:val="5"/>
  </w:num>
  <w:num w:numId="8">
    <w:abstractNumId w:val="0"/>
  </w:num>
  <w:num w:numId="9">
    <w:abstractNumId w:val="7"/>
  </w:num>
  <w:num w:numId="10">
    <w:abstractNumId w:val="8"/>
  </w:num>
  <w:num w:numId="11">
    <w:abstractNumId w:val="3"/>
  </w:num>
  <w:num w:numId="12">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drawingGridHorizontalSpacing w:val="100"/>
  <w:displayHorizontalDrawingGridEvery w:val="0"/>
  <w:displayVerticalDrawingGridEvery w:val="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DCD"/>
    <w:rsid w:val="00000986"/>
    <w:rsid w:val="000044E9"/>
    <w:rsid w:val="00014AF7"/>
    <w:rsid w:val="000173E0"/>
    <w:rsid w:val="000215A5"/>
    <w:rsid w:val="0003351A"/>
    <w:rsid w:val="0003488E"/>
    <w:rsid w:val="00035CF1"/>
    <w:rsid w:val="00040C46"/>
    <w:rsid w:val="00042B83"/>
    <w:rsid w:val="0004453D"/>
    <w:rsid w:val="000502B5"/>
    <w:rsid w:val="0006008F"/>
    <w:rsid w:val="00072E02"/>
    <w:rsid w:val="0009267E"/>
    <w:rsid w:val="000A1ABA"/>
    <w:rsid w:val="000B0005"/>
    <w:rsid w:val="000C1D76"/>
    <w:rsid w:val="000C2E36"/>
    <w:rsid w:val="000E45E2"/>
    <w:rsid w:val="00102816"/>
    <w:rsid w:val="00105F99"/>
    <w:rsid w:val="00112E8E"/>
    <w:rsid w:val="00114746"/>
    <w:rsid w:val="00123F9A"/>
    <w:rsid w:val="00151DE9"/>
    <w:rsid w:val="00154012"/>
    <w:rsid w:val="00164B60"/>
    <w:rsid w:val="001762C2"/>
    <w:rsid w:val="00186713"/>
    <w:rsid w:val="001867EB"/>
    <w:rsid w:val="001A2CC9"/>
    <w:rsid w:val="001E5430"/>
    <w:rsid w:val="001E6D93"/>
    <w:rsid w:val="001F2650"/>
    <w:rsid w:val="00230AD4"/>
    <w:rsid w:val="0023795B"/>
    <w:rsid w:val="0024266B"/>
    <w:rsid w:val="00250EE7"/>
    <w:rsid w:val="00262F69"/>
    <w:rsid w:val="00267FF7"/>
    <w:rsid w:val="002705C7"/>
    <w:rsid w:val="00293DC6"/>
    <w:rsid w:val="002A1DF8"/>
    <w:rsid w:val="002B04F6"/>
    <w:rsid w:val="002C3FEE"/>
    <w:rsid w:val="002D110F"/>
    <w:rsid w:val="002D6394"/>
    <w:rsid w:val="002D73BA"/>
    <w:rsid w:val="002F3509"/>
    <w:rsid w:val="00306DCD"/>
    <w:rsid w:val="00323654"/>
    <w:rsid w:val="00324330"/>
    <w:rsid w:val="003265B8"/>
    <w:rsid w:val="003309A1"/>
    <w:rsid w:val="00333DDC"/>
    <w:rsid w:val="003342E4"/>
    <w:rsid w:val="003425D9"/>
    <w:rsid w:val="00343187"/>
    <w:rsid w:val="00364D0E"/>
    <w:rsid w:val="00367B7D"/>
    <w:rsid w:val="00367F25"/>
    <w:rsid w:val="003721F0"/>
    <w:rsid w:val="00394F5E"/>
    <w:rsid w:val="003A577A"/>
    <w:rsid w:val="003C44BA"/>
    <w:rsid w:val="003C7517"/>
    <w:rsid w:val="003C7954"/>
    <w:rsid w:val="003D55A2"/>
    <w:rsid w:val="003D58EC"/>
    <w:rsid w:val="003D5E2B"/>
    <w:rsid w:val="003E7B8F"/>
    <w:rsid w:val="003F1596"/>
    <w:rsid w:val="003F411F"/>
    <w:rsid w:val="004029F3"/>
    <w:rsid w:val="004173B1"/>
    <w:rsid w:val="00417B0E"/>
    <w:rsid w:val="004251D6"/>
    <w:rsid w:val="00453F65"/>
    <w:rsid w:val="00455456"/>
    <w:rsid w:val="00455624"/>
    <w:rsid w:val="00483C49"/>
    <w:rsid w:val="0049308D"/>
    <w:rsid w:val="00494CF0"/>
    <w:rsid w:val="00496B90"/>
    <w:rsid w:val="004A0D5D"/>
    <w:rsid w:val="004A5EF3"/>
    <w:rsid w:val="004B065E"/>
    <w:rsid w:val="004B593D"/>
    <w:rsid w:val="004D652C"/>
    <w:rsid w:val="004D71BF"/>
    <w:rsid w:val="004E09A2"/>
    <w:rsid w:val="004E5A7B"/>
    <w:rsid w:val="004F4D2A"/>
    <w:rsid w:val="00521366"/>
    <w:rsid w:val="00522F8F"/>
    <w:rsid w:val="0053055E"/>
    <w:rsid w:val="00542286"/>
    <w:rsid w:val="00542701"/>
    <w:rsid w:val="00545E1C"/>
    <w:rsid w:val="0056264F"/>
    <w:rsid w:val="0057022A"/>
    <w:rsid w:val="005A020C"/>
    <w:rsid w:val="005B49CF"/>
    <w:rsid w:val="005C37BB"/>
    <w:rsid w:val="005C669B"/>
    <w:rsid w:val="005D0589"/>
    <w:rsid w:val="005D2CBD"/>
    <w:rsid w:val="005E2FD2"/>
    <w:rsid w:val="0060204F"/>
    <w:rsid w:val="0060520B"/>
    <w:rsid w:val="00612BE8"/>
    <w:rsid w:val="006163C0"/>
    <w:rsid w:val="00617C97"/>
    <w:rsid w:val="006341FF"/>
    <w:rsid w:val="00642C30"/>
    <w:rsid w:val="00645441"/>
    <w:rsid w:val="00647B06"/>
    <w:rsid w:val="00647B30"/>
    <w:rsid w:val="00670639"/>
    <w:rsid w:val="0068275C"/>
    <w:rsid w:val="0068419B"/>
    <w:rsid w:val="00691E05"/>
    <w:rsid w:val="006941CC"/>
    <w:rsid w:val="0069632C"/>
    <w:rsid w:val="006A36B9"/>
    <w:rsid w:val="006B12D0"/>
    <w:rsid w:val="006B4C1D"/>
    <w:rsid w:val="006B5224"/>
    <w:rsid w:val="006D20B3"/>
    <w:rsid w:val="006E1E49"/>
    <w:rsid w:val="006E7B11"/>
    <w:rsid w:val="006F22FF"/>
    <w:rsid w:val="006F5949"/>
    <w:rsid w:val="00704335"/>
    <w:rsid w:val="00704AB1"/>
    <w:rsid w:val="0071219B"/>
    <w:rsid w:val="00740820"/>
    <w:rsid w:val="00761A74"/>
    <w:rsid w:val="00765DC2"/>
    <w:rsid w:val="00782CAD"/>
    <w:rsid w:val="007926AC"/>
    <w:rsid w:val="00794CFC"/>
    <w:rsid w:val="007979E1"/>
    <w:rsid w:val="007A3141"/>
    <w:rsid w:val="007C15BA"/>
    <w:rsid w:val="007C6365"/>
    <w:rsid w:val="007D79DC"/>
    <w:rsid w:val="007F1448"/>
    <w:rsid w:val="007F6834"/>
    <w:rsid w:val="0081147B"/>
    <w:rsid w:val="0083715F"/>
    <w:rsid w:val="008374A1"/>
    <w:rsid w:val="008467F2"/>
    <w:rsid w:val="00856240"/>
    <w:rsid w:val="008631C3"/>
    <w:rsid w:val="00874EFB"/>
    <w:rsid w:val="008832CE"/>
    <w:rsid w:val="00896CF6"/>
    <w:rsid w:val="008A4D8D"/>
    <w:rsid w:val="008B0C36"/>
    <w:rsid w:val="008B750C"/>
    <w:rsid w:val="008C2F70"/>
    <w:rsid w:val="008D1C58"/>
    <w:rsid w:val="008D481B"/>
    <w:rsid w:val="008D6A95"/>
    <w:rsid w:val="008E28E1"/>
    <w:rsid w:val="008F00E2"/>
    <w:rsid w:val="00903F9A"/>
    <w:rsid w:val="00905C94"/>
    <w:rsid w:val="009233E0"/>
    <w:rsid w:val="00933479"/>
    <w:rsid w:val="00934304"/>
    <w:rsid w:val="00940433"/>
    <w:rsid w:val="00940738"/>
    <w:rsid w:val="0096553B"/>
    <w:rsid w:val="00965E86"/>
    <w:rsid w:val="00976CEB"/>
    <w:rsid w:val="0098063F"/>
    <w:rsid w:val="00982914"/>
    <w:rsid w:val="0099447C"/>
    <w:rsid w:val="009B4EC7"/>
    <w:rsid w:val="009B7BC9"/>
    <w:rsid w:val="009E58F8"/>
    <w:rsid w:val="009E6DE1"/>
    <w:rsid w:val="009F5AAD"/>
    <w:rsid w:val="009F6527"/>
    <w:rsid w:val="00A11ACE"/>
    <w:rsid w:val="00A21EDA"/>
    <w:rsid w:val="00A33CD6"/>
    <w:rsid w:val="00A43E84"/>
    <w:rsid w:val="00A45EFE"/>
    <w:rsid w:val="00A5749D"/>
    <w:rsid w:val="00A676D3"/>
    <w:rsid w:val="00A90DB9"/>
    <w:rsid w:val="00A9332F"/>
    <w:rsid w:val="00A975D0"/>
    <w:rsid w:val="00AB6733"/>
    <w:rsid w:val="00AC507E"/>
    <w:rsid w:val="00AE1654"/>
    <w:rsid w:val="00AF25CC"/>
    <w:rsid w:val="00B01F65"/>
    <w:rsid w:val="00B11269"/>
    <w:rsid w:val="00B22E97"/>
    <w:rsid w:val="00B24BB2"/>
    <w:rsid w:val="00B27102"/>
    <w:rsid w:val="00B36AD0"/>
    <w:rsid w:val="00B52CF0"/>
    <w:rsid w:val="00B63BFE"/>
    <w:rsid w:val="00B6726E"/>
    <w:rsid w:val="00B67405"/>
    <w:rsid w:val="00B813F0"/>
    <w:rsid w:val="00B84CE9"/>
    <w:rsid w:val="00B91440"/>
    <w:rsid w:val="00BB610F"/>
    <w:rsid w:val="00BC456B"/>
    <w:rsid w:val="00BC6388"/>
    <w:rsid w:val="00BF076C"/>
    <w:rsid w:val="00BF7041"/>
    <w:rsid w:val="00C03C46"/>
    <w:rsid w:val="00C14AF9"/>
    <w:rsid w:val="00C17F8A"/>
    <w:rsid w:val="00C26DD1"/>
    <w:rsid w:val="00C3512D"/>
    <w:rsid w:val="00C51DCE"/>
    <w:rsid w:val="00C5268A"/>
    <w:rsid w:val="00C65F1C"/>
    <w:rsid w:val="00C66D86"/>
    <w:rsid w:val="00C83987"/>
    <w:rsid w:val="00CA05DB"/>
    <w:rsid w:val="00CA0DC8"/>
    <w:rsid w:val="00CA1077"/>
    <w:rsid w:val="00CB22A4"/>
    <w:rsid w:val="00CB3A73"/>
    <w:rsid w:val="00CC5737"/>
    <w:rsid w:val="00CC5F97"/>
    <w:rsid w:val="00CD2C23"/>
    <w:rsid w:val="00CD3CDB"/>
    <w:rsid w:val="00CD5CB1"/>
    <w:rsid w:val="00CF590C"/>
    <w:rsid w:val="00CF5A56"/>
    <w:rsid w:val="00D13243"/>
    <w:rsid w:val="00D16CC5"/>
    <w:rsid w:val="00D22A8F"/>
    <w:rsid w:val="00D369B6"/>
    <w:rsid w:val="00D535AD"/>
    <w:rsid w:val="00D55424"/>
    <w:rsid w:val="00D56F75"/>
    <w:rsid w:val="00D61047"/>
    <w:rsid w:val="00D650D8"/>
    <w:rsid w:val="00D85AB2"/>
    <w:rsid w:val="00D924E1"/>
    <w:rsid w:val="00DA3604"/>
    <w:rsid w:val="00DC1615"/>
    <w:rsid w:val="00DC5935"/>
    <w:rsid w:val="00DD1CAB"/>
    <w:rsid w:val="00DE4A0C"/>
    <w:rsid w:val="00DE5F78"/>
    <w:rsid w:val="00E12028"/>
    <w:rsid w:val="00E45AED"/>
    <w:rsid w:val="00E463F4"/>
    <w:rsid w:val="00E8460A"/>
    <w:rsid w:val="00E90C25"/>
    <w:rsid w:val="00EB4795"/>
    <w:rsid w:val="00EC6040"/>
    <w:rsid w:val="00EC7F70"/>
    <w:rsid w:val="00ED0953"/>
    <w:rsid w:val="00ED2BBB"/>
    <w:rsid w:val="00ED6814"/>
    <w:rsid w:val="00EE4C37"/>
    <w:rsid w:val="00EF188B"/>
    <w:rsid w:val="00F11430"/>
    <w:rsid w:val="00F16290"/>
    <w:rsid w:val="00F22D86"/>
    <w:rsid w:val="00F31BB7"/>
    <w:rsid w:val="00F5010C"/>
    <w:rsid w:val="00F558A2"/>
    <w:rsid w:val="00F65B83"/>
    <w:rsid w:val="00F65CA8"/>
    <w:rsid w:val="00F662E9"/>
    <w:rsid w:val="00F67D6E"/>
    <w:rsid w:val="00F718E6"/>
    <w:rsid w:val="00F72BCA"/>
    <w:rsid w:val="00F846E1"/>
    <w:rsid w:val="00F87F70"/>
    <w:rsid w:val="00FA1116"/>
    <w:rsid w:val="00FA6DE6"/>
    <w:rsid w:val="00FC4C75"/>
    <w:rsid w:val="00FD26C1"/>
    <w:rsid w:val="00FE034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oNotEmbedSmartTags/>
  <w:decimalSymbol w:val=","/>
  <w:listSeparator w:val=";"/>
  <w14:docId w14:val="26F6522D"/>
  <w15:docId w15:val="{F5FED239-AF7E-4322-9DC8-FE5A99B92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i-FI"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2F8F"/>
    <w:pPr>
      <w:spacing w:before="240" w:after="240" w:line="260" w:lineRule="exact"/>
    </w:pPr>
    <w:rPr>
      <w:rFonts w:ascii="Calibri" w:hAnsi="Calibri"/>
      <w:szCs w:val="24"/>
    </w:rPr>
  </w:style>
  <w:style w:type="paragraph" w:styleId="Heading1">
    <w:name w:val="heading 1"/>
    <w:next w:val="Normal"/>
    <w:link w:val="Heading1Char"/>
    <w:qFormat/>
    <w:rsid w:val="00FE0343"/>
    <w:pPr>
      <w:keepNext/>
      <w:spacing w:before="480" w:after="240" w:line="400" w:lineRule="exact"/>
      <w:outlineLvl w:val="0"/>
    </w:pPr>
    <w:rPr>
      <w:rFonts w:ascii="Tahoma" w:hAnsi="Tahoma"/>
      <w:b/>
      <w:kern w:val="32"/>
      <w:sz w:val="36"/>
      <w:szCs w:val="32"/>
    </w:rPr>
  </w:style>
  <w:style w:type="paragraph" w:styleId="Heading2">
    <w:name w:val="heading 2"/>
    <w:next w:val="Normal"/>
    <w:link w:val="Heading2Char"/>
    <w:qFormat/>
    <w:rsid w:val="00FE0343"/>
    <w:pPr>
      <w:keepNext/>
      <w:spacing w:before="360" w:after="240" w:line="320" w:lineRule="exact"/>
      <w:outlineLvl w:val="1"/>
    </w:pPr>
    <w:rPr>
      <w:rFonts w:ascii="Tahoma" w:hAnsi="Tahoma"/>
      <w:b/>
      <w:sz w:val="28"/>
      <w:szCs w:val="28"/>
    </w:rPr>
  </w:style>
  <w:style w:type="paragraph" w:styleId="Heading3">
    <w:name w:val="heading 3"/>
    <w:next w:val="Normal"/>
    <w:link w:val="Heading3Char"/>
    <w:qFormat/>
    <w:rsid w:val="00FE0343"/>
    <w:pPr>
      <w:keepNext/>
      <w:spacing w:before="240" w:after="120" w:line="276" w:lineRule="auto"/>
      <w:outlineLvl w:val="2"/>
    </w:pPr>
    <w:rPr>
      <w:rFonts w:ascii="Tahoma" w:hAnsi="Tahoma"/>
      <w:b/>
      <w:sz w:val="22"/>
      <w:szCs w:val="26"/>
    </w:rPr>
  </w:style>
  <w:style w:type="paragraph" w:styleId="Heading4">
    <w:name w:val="heading 4"/>
    <w:basedOn w:val="Normal"/>
    <w:next w:val="Normal"/>
    <w:link w:val="Heading4Char"/>
    <w:uiPriority w:val="9"/>
    <w:semiHidden/>
    <w:unhideWhenUsed/>
    <w:qFormat/>
    <w:rsid w:val="00FE0343"/>
    <w:pPr>
      <w:keepNext/>
      <w:keepLines/>
      <w:spacing w:before="200" w:after="0"/>
      <w:outlineLvl w:val="3"/>
    </w:pPr>
    <w:rPr>
      <w:rFonts w:asciiTheme="majorHAnsi" w:eastAsiaTheme="majorEastAsia" w:hAnsiTheme="majorHAnsi" w:cstheme="majorBidi"/>
      <w:b/>
      <w:bCs/>
      <w:i/>
      <w:iCs/>
      <w:color w:val="EC008C"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Ylä- ja alatunniste"/>
    <w:link w:val="HeaderChar"/>
    <w:qFormat/>
    <w:rsid w:val="00FE0343"/>
    <w:pPr>
      <w:spacing w:before="120" w:line="240" w:lineRule="exact"/>
    </w:pPr>
    <w:rPr>
      <w:rFonts w:asciiTheme="majorHAnsi" w:hAnsiTheme="majorHAnsi"/>
      <w:sz w:val="16"/>
      <w:szCs w:val="24"/>
    </w:rPr>
  </w:style>
  <w:style w:type="paragraph" w:styleId="Footer">
    <w:name w:val="footer"/>
    <w:basedOn w:val="Normal"/>
    <w:semiHidden/>
    <w:rsid w:val="002E64BE"/>
    <w:pPr>
      <w:tabs>
        <w:tab w:val="center" w:pos="4320"/>
        <w:tab w:val="right" w:pos="8640"/>
      </w:tabs>
    </w:pPr>
  </w:style>
  <w:style w:type="character" w:customStyle="1" w:styleId="apple-tab-span">
    <w:name w:val="apple-tab-span"/>
    <w:rsid w:val="00E45AED"/>
  </w:style>
  <w:style w:type="paragraph" w:styleId="NoSpacing">
    <w:name w:val="No Spacing"/>
    <w:next w:val="Normal"/>
    <w:link w:val="NoSpacingChar"/>
    <w:uiPriority w:val="1"/>
    <w:qFormat/>
    <w:rsid w:val="00FE0343"/>
    <w:pPr>
      <w:spacing w:line="276" w:lineRule="auto"/>
    </w:pPr>
    <w:rPr>
      <w:rFonts w:ascii="Georgia" w:hAnsi="Georgia"/>
      <w:szCs w:val="24"/>
    </w:rPr>
  </w:style>
  <w:style w:type="paragraph" w:customStyle="1" w:styleId="Default">
    <w:name w:val="Default"/>
    <w:link w:val="DefaultChar"/>
    <w:rsid w:val="00DA3604"/>
    <w:pPr>
      <w:autoSpaceDE w:val="0"/>
      <w:autoSpaceDN w:val="0"/>
      <w:adjustRightInd w:val="0"/>
    </w:pPr>
    <w:rPr>
      <w:rFonts w:ascii="Arial" w:hAnsi="Arial" w:cs="Arial"/>
      <w:color w:val="000000"/>
      <w:sz w:val="24"/>
      <w:szCs w:val="24"/>
    </w:rPr>
  </w:style>
  <w:style w:type="character" w:customStyle="1" w:styleId="Heading1Char">
    <w:name w:val="Heading 1 Char"/>
    <w:basedOn w:val="DefaultParagraphFont"/>
    <w:link w:val="Heading1"/>
    <w:rsid w:val="00FE0343"/>
    <w:rPr>
      <w:rFonts w:ascii="Tahoma" w:hAnsi="Tahoma"/>
      <w:b/>
      <w:kern w:val="32"/>
      <w:sz w:val="36"/>
      <w:szCs w:val="32"/>
    </w:rPr>
  </w:style>
  <w:style w:type="paragraph" w:styleId="ListParagraph">
    <w:name w:val="List Paragraph"/>
    <w:aliases w:val="Lista"/>
    <w:uiPriority w:val="34"/>
    <w:qFormat/>
    <w:rsid w:val="00FE0343"/>
    <w:pPr>
      <w:numPr>
        <w:numId w:val="3"/>
      </w:numPr>
      <w:spacing w:before="240" w:after="240" w:line="276" w:lineRule="auto"/>
      <w:contextualSpacing/>
    </w:pPr>
    <w:rPr>
      <w:rFonts w:ascii="Georgia" w:hAnsi="Georgia" w:cs="Calibri"/>
      <w:szCs w:val="24"/>
    </w:rPr>
  </w:style>
  <w:style w:type="paragraph" w:styleId="Subtitle">
    <w:name w:val="Subtitle"/>
    <w:basedOn w:val="Normal"/>
    <w:next w:val="Normal"/>
    <w:link w:val="SubtitleChar"/>
    <w:uiPriority w:val="11"/>
    <w:rsid w:val="0096553B"/>
    <w:pPr>
      <w:numPr>
        <w:ilvl w:val="1"/>
      </w:numPr>
    </w:pPr>
    <w:rPr>
      <w:rFonts w:asciiTheme="majorHAnsi" w:eastAsiaTheme="majorEastAsia" w:hAnsiTheme="majorHAnsi" w:cstheme="majorHAnsi"/>
      <w:b/>
      <w:iCs/>
      <w:caps/>
      <w:color w:val="8DC63F" w:themeColor="accent3"/>
      <w:spacing w:val="15"/>
      <w:sz w:val="24"/>
    </w:rPr>
  </w:style>
  <w:style w:type="character" w:customStyle="1" w:styleId="SubtitleChar">
    <w:name w:val="Subtitle Char"/>
    <w:basedOn w:val="DefaultParagraphFont"/>
    <w:link w:val="Subtitle"/>
    <w:uiPriority w:val="11"/>
    <w:rsid w:val="0096553B"/>
    <w:rPr>
      <w:rFonts w:asciiTheme="majorHAnsi" w:eastAsiaTheme="majorEastAsia" w:hAnsiTheme="majorHAnsi" w:cstheme="majorHAnsi"/>
      <w:b/>
      <w:iCs/>
      <w:caps/>
      <w:color w:val="8DC63F" w:themeColor="accent3"/>
      <w:spacing w:val="15"/>
      <w:sz w:val="24"/>
      <w:szCs w:val="24"/>
    </w:rPr>
  </w:style>
  <w:style w:type="paragraph" w:styleId="Title">
    <w:name w:val="Title"/>
    <w:basedOn w:val="Normal"/>
    <w:next w:val="Normal"/>
    <w:link w:val="TitleChar"/>
    <w:uiPriority w:val="10"/>
    <w:rsid w:val="006941CC"/>
    <w:pPr>
      <w:pBdr>
        <w:bottom w:val="single" w:sz="8" w:space="4" w:color="EC008C" w:themeColor="accent1"/>
      </w:pBdr>
      <w:spacing w:after="300" w:line="240" w:lineRule="auto"/>
      <w:contextualSpacing/>
    </w:pPr>
    <w:rPr>
      <w:rFonts w:asciiTheme="majorHAnsi" w:eastAsiaTheme="majorEastAsia" w:hAnsiTheme="majorHAnsi" w:cstheme="majorBidi"/>
      <w:color w:val="1C1C1C" w:themeColor="text2" w:themeShade="BF"/>
      <w:spacing w:val="5"/>
      <w:kern w:val="28"/>
      <w:sz w:val="52"/>
      <w:szCs w:val="52"/>
    </w:rPr>
  </w:style>
  <w:style w:type="character" w:customStyle="1" w:styleId="TitleChar">
    <w:name w:val="Title Char"/>
    <w:basedOn w:val="DefaultParagraphFont"/>
    <w:link w:val="Title"/>
    <w:uiPriority w:val="10"/>
    <w:rsid w:val="006941CC"/>
    <w:rPr>
      <w:rFonts w:asciiTheme="majorHAnsi" w:eastAsiaTheme="majorEastAsia" w:hAnsiTheme="majorHAnsi" w:cstheme="majorBidi"/>
      <w:color w:val="1C1C1C" w:themeColor="text2" w:themeShade="BF"/>
      <w:spacing w:val="5"/>
      <w:kern w:val="28"/>
      <w:sz w:val="52"/>
      <w:szCs w:val="52"/>
      <w:lang w:eastAsia="en-US"/>
    </w:rPr>
  </w:style>
  <w:style w:type="paragraph" w:styleId="Revision">
    <w:name w:val="Revision"/>
    <w:hidden/>
    <w:uiPriority w:val="99"/>
    <w:semiHidden/>
    <w:rsid w:val="00A676D3"/>
    <w:rPr>
      <w:rFonts w:ascii="Georgia" w:hAnsi="Georgia"/>
      <w:szCs w:val="24"/>
    </w:rPr>
  </w:style>
  <w:style w:type="character" w:styleId="SubtleEmphasis">
    <w:name w:val="Subtle Emphasis"/>
    <w:basedOn w:val="DefaultParagraphFont"/>
    <w:uiPriority w:val="19"/>
    <w:rsid w:val="0096553B"/>
    <w:rPr>
      <w:i/>
      <w:iCs/>
      <w:color w:val="000000" w:themeColor="text1"/>
    </w:rPr>
  </w:style>
  <w:style w:type="character" w:styleId="Emphasis">
    <w:name w:val="Emphasis"/>
    <w:basedOn w:val="DefaultParagraphFont"/>
    <w:uiPriority w:val="20"/>
    <w:rsid w:val="0096553B"/>
    <w:rPr>
      <w:b/>
      <w:i/>
      <w:iCs/>
      <w:color w:val="8DC63F" w:themeColor="accent3"/>
    </w:rPr>
  </w:style>
  <w:style w:type="character" w:styleId="SubtleReference">
    <w:name w:val="Subtle Reference"/>
    <w:basedOn w:val="DefaultParagraphFont"/>
    <w:uiPriority w:val="31"/>
    <w:rsid w:val="0096553B"/>
    <w:rPr>
      <w:smallCaps/>
      <w:color w:val="8DC63F" w:themeColor="accent3"/>
      <w:u w:val="single"/>
    </w:rPr>
  </w:style>
  <w:style w:type="character" w:styleId="CommentReference">
    <w:name w:val="annotation reference"/>
    <w:basedOn w:val="DefaultParagraphFont"/>
    <w:uiPriority w:val="99"/>
    <w:semiHidden/>
    <w:unhideWhenUsed/>
    <w:rsid w:val="00CD2C23"/>
    <w:rPr>
      <w:sz w:val="16"/>
      <w:szCs w:val="16"/>
    </w:rPr>
  </w:style>
  <w:style w:type="paragraph" w:styleId="CommentText">
    <w:name w:val="annotation text"/>
    <w:basedOn w:val="Normal"/>
    <w:link w:val="CommentTextChar"/>
    <w:uiPriority w:val="99"/>
    <w:semiHidden/>
    <w:unhideWhenUsed/>
    <w:rsid w:val="00CD2C23"/>
    <w:pPr>
      <w:spacing w:line="240" w:lineRule="auto"/>
    </w:pPr>
    <w:rPr>
      <w:szCs w:val="20"/>
    </w:rPr>
  </w:style>
  <w:style w:type="character" w:styleId="Hyperlink">
    <w:name w:val="Hyperlink"/>
    <w:uiPriority w:val="99"/>
    <w:unhideWhenUsed/>
    <w:qFormat/>
    <w:rsid w:val="00FE0343"/>
    <w:rPr>
      <w:color w:val="EC008C" w:themeColor="accent1"/>
      <w:u w:val="single"/>
    </w:rPr>
  </w:style>
  <w:style w:type="paragraph" w:customStyle="1" w:styleId="Kansilehdenotsikko">
    <w:name w:val="Kansilehden otsikko"/>
    <w:next w:val="Kansilehdenotsikontarkenne"/>
    <w:link w:val="KansilehdenotsikkoChar"/>
    <w:qFormat/>
    <w:rsid w:val="00FE0343"/>
    <w:pPr>
      <w:spacing w:before="240" w:after="240"/>
    </w:pPr>
    <w:rPr>
      <w:rFonts w:ascii="Tahoma" w:eastAsia="Calibri" w:hAnsi="Tahoma"/>
      <w:b/>
      <w:color w:val="FFFFFF" w:themeColor="background1"/>
      <w:sz w:val="96"/>
      <w:szCs w:val="56"/>
    </w:rPr>
  </w:style>
  <w:style w:type="paragraph" w:styleId="Quote">
    <w:name w:val="Quote"/>
    <w:basedOn w:val="Normal"/>
    <w:next w:val="Normal"/>
    <w:link w:val="QuoteChar"/>
    <w:uiPriority w:val="29"/>
    <w:qFormat/>
    <w:rsid w:val="00FE0343"/>
    <w:rPr>
      <w:i/>
      <w:iCs/>
      <w:color w:val="000000" w:themeColor="text1"/>
    </w:rPr>
  </w:style>
  <w:style w:type="character" w:customStyle="1" w:styleId="QuoteChar">
    <w:name w:val="Quote Char"/>
    <w:basedOn w:val="DefaultParagraphFont"/>
    <w:link w:val="Quote"/>
    <w:uiPriority w:val="29"/>
    <w:rsid w:val="00FE0343"/>
    <w:rPr>
      <w:rFonts w:ascii="Georgia" w:hAnsi="Georgia"/>
      <w:i/>
      <w:iCs/>
      <w:color w:val="000000" w:themeColor="text1"/>
      <w:szCs w:val="24"/>
    </w:rPr>
  </w:style>
  <w:style w:type="paragraph" w:styleId="TOCHeading">
    <w:name w:val="TOC Heading"/>
    <w:next w:val="TOC1"/>
    <w:link w:val="TOCHeadingChar"/>
    <w:uiPriority w:val="39"/>
    <w:unhideWhenUsed/>
    <w:qFormat/>
    <w:rsid w:val="00FE0343"/>
    <w:pPr>
      <w:keepLines/>
      <w:spacing w:before="240" w:after="240" w:line="280" w:lineRule="exact"/>
    </w:pPr>
    <w:rPr>
      <w:rFonts w:ascii="Tahoma" w:eastAsiaTheme="majorEastAsia" w:hAnsi="Tahoma" w:cstheme="majorBidi"/>
      <w:b/>
      <w:bCs/>
      <w:sz w:val="28"/>
      <w:szCs w:val="28"/>
      <w:lang w:val="en-US"/>
    </w:rPr>
  </w:style>
  <w:style w:type="paragraph" w:styleId="TOC2">
    <w:name w:val="toc 2"/>
    <w:basedOn w:val="Normal"/>
    <w:next w:val="Normal"/>
    <w:uiPriority w:val="39"/>
    <w:unhideWhenUsed/>
    <w:qFormat/>
    <w:rsid w:val="00FE0343"/>
    <w:pPr>
      <w:tabs>
        <w:tab w:val="right" w:leader="dot" w:pos="8672"/>
      </w:tabs>
      <w:spacing w:line="240" w:lineRule="exact"/>
      <w:ind w:left="284"/>
    </w:pPr>
    <w:rPr>
      <w:rFonts w:eastAsiaTheme="minorEastAsia" w:cstheme="minorBidi"/>
      <w:noProof/>
      <w:szCs w:val="22"/>
      <w:lang w:val="en-US"/>
    </w:rPr>
  </w:style>
  <w:style w:type="paragraph" w:styleId="TOC1">
    <w:name w:val="toc 1"/>
    <w:basedOn w:val="TOC2"/>
    <w:next w:val="Normal"/>
    <w:uiPriority w:val="39"/>
    <w:unhideWhenUsed/>
    <w:qFormat/>
    <w:rsid w:val="00FE0343"/>
    <w:pPr>
      <w:ind w:left="0"/>
    </w:pPr>
  </w:style>
  <w:style w:type="paragraph" w:styleId="TOC3">
    <w:name w:val="toc 3"/>
    <w:next w:val="Normal"/>
    <w:uiPriority w:val="39"/>
    <w:unhideWhenUsed/>
    <w:qFormat/>
    <w:rsid w:val="00FE0343"/>
    <w:pPr>
      <w:tabs>
        <w:tab w:val="right" w:leader="dot" w:pos="8672"/>
      </w:tabs>
      <w:spacing w:before="120" w:after="120" w:line="240" w:lineRule="exact"/>
      <w:ind w:left="851"/>
    </w:pPr>
    <w:rPr>
      <w:rFonts w:asciiTheme="minorHAnsi" w:eastAsiaTheme="minorEastAsia" w:hAnsiTheme="minorHAnsi" w:cstheme="minorHAnsi"/>
      <w:i/>
      <w:noProof/>
      <w:szCs w:val="22"/>
      <w:lang w:val="en-US"/>
    </w:rPr>
  </w:style>
  <w:style w:type="paragraph" w:styleId="BalloonText">
    <w:name w:val="Balloon Text"/>
    <w:basedOn w:val="Normal"/>
    <w:link w:val="BalloonTextChar"/>
    <w:uiPriority w:val="99"/>
    <w:semiHidden/>
    <w:unhideWhenUsed/>
    <w:rsid w:val="003425D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25D9"/>
    <w:rPr>
      <w:rFonts w:ascii="Tahoma" w:hAnsi="Tahoma" w:cs="Tahoma"/>
      <w:sz w:val="16"/>
      <w:szCs w:val="16"/>
      <w:lang w:eastAsia="en-US"/>
    </w:rPr>
  </w:style>
  <w:style w:type="paragraph" w:customStyle="1" w:styleId="Kansilehdenotsikontarkenne">
    <w:name w:val="Kansilehden otsikon tarkenne"/>
    <w:basedOn w:val="NoSpacing"/>
    <w:link w:val="KansilehdenotsikontarkenneChar"/>
    <w:qFormat/>
    <w:rsid w:val="00FE0343"/>
    <w:rPr>
      <w:rFonts w:asciiTheme="majorHAnsi" w:eastAsia="Calibri" w:hAnsiTheme="majorHAnsi"/>
      <w:b/>
      <w:color w:val="FFFFFF" w:themeColor="background1"/>
    </w:rPr>
  </w:style>
  <w:style w:type="character" w:customStyle="1" w:styleId="CommentTextChar">
    <w:name w:val="Comment Text Char"/>
    <w:basedOn w:val="DefaultParagraphFont"/>
    <w:link w:val="CommentText"/>
    <w:uiPriority w:val="99"/>
    <w:semiHidden/>
    <w:rsid w:val="00CD2C23"/>
    <w:rPr>
      <w:rFonts w:ascii="Georgia" w:hAnsi="Georgia"/>
    </w:rPr>
  </w:style>
  <w:style w:type="character" w:customStyle="1" w:styleId="NoSpacingChar">
    <w:name w:val="No Spacing Char"/>
    <w:basedOn w:val="DefaultParagraphFont"/>
    <w:link w:val="NoSpacing"/>
    <w:uiPriority w:val="1"/>
    <w:rsid w:val="00FE0343"/>
    <w:rPr>
      <w:rFonts w:ascii="Georgia" w:hAnsi="Georgia"/>
      <w:szCs w:val="24"/>
    </w:rPr>
  </w:style>
  <w:style w:type="character" w:customStyle="1" w:styleId="Heading2Char">
    <w:name w:val="Heading 2 Char"/>
    <w:basedOn w:val="DefaultParagraphFont"/>
    <w:link w:val="Heading2"/>
    <w:rsid w:val="00FE0343"/>
    <w:rPr>
      <w:rFonts w:ascii="Tahoma" w:hAnsi="Tahoma"/>
      <w:b/>
      <w:sz w:val="28"/>
      <w:szCs w:val="28"/>
    </w:rPr>
  </w:style>
  <w:style w:type="character" w:customStyle="1" w:styleId="Heading3Char">
    <w:name w:val="Heading 3 Char"/>
    <w:basedOn w:val="DefaultParagraphFont"/>
    <w:link w:val="Heading3"/>
    <w:rsid w:val="00FE0343"/>
    <w:rPr>
      <w:rFonts w:ascii="Tahoma" w:hAnsi="Tahoma"/>
      <w:b/>
      <w:sz w:val="22"/>
      <w:szCs w:val="26"/>
    </w:rPr>
  </w:style>
  <w:style w:type="character" w:customStyle="1" w:styleId="KansilehdenotsikontarkenneChar">
    <w:name w:val="Kansilehden otsikon tarkenne Char"/>
    <w:basedOn w:val="NoSpacingChar"/>
    <w:link w:val="Kansilehdenotsikontarkenne"/>
    <w:rsid w:val="00FE0343"/>
    <w:rPr>
      <w:rFonts w:asciiTheme="majorHAnsi" w:eastAsia="Calibri" w:hAnsiTheme="majorHAnsi"/>
      <w:b/>
      <w:color w:val="FFFFFF" w:themeColor="background1"/>
      <w:szCs w:val="24"/>
    </w:rPr>
  </w:style>
  <w:style w:type="character" w:customStyle="1" w:styleId="KansilehdenotsikkoChar">
    <w:name w:val="Kansilehden otsikko Char"/>
    <w:basedOn w:val="DefaultParagraphFont"/>
    <w:link w:val="Kansilehdenotsikko"/>
    <w:rsid w:val="00FE0343"/>
    <w:rPr>
      <w:rFonts w:ascii="Tahoma" w:eastAsia="Calibri" w:hAnsi="Tahoma"/>
      <w:b/>
      <w:color w:val="FFFFFF" w:themeColor="background1"/>
      <w:sz w:val="96"/>
      <w:szCs w:val="56"/>
    </w:rPr>
  </w:style>
  <w:style w:type="character" w:customStyle="1" w:styleId="TOCHeadingChar">
    <w:name w:val="TOC Heading Char"/>
    <w:basedOn w:val="DefaultParagraphFont"/>
    <w:link w:val="TOCHeading"/>
    <w:uiPriority w:val="39"/>
    <w:rsid w:val="00FE0343"/>
    <w:rPr>
      <w:rFonts w:ascii="Tahoma" w:eastAsiaTheme="majorEastAsia" w:hAnsi="Tahoma" w:cstheme="majorBidi"/>
      <w:b/>
      <w:bCs/>
      <w:sz w:val="28"/>
      <w:szCs w:val="28"/>
      <w:lang w:val="en-US"/>
    </w:rPr>
  </w:style>
  <w:style w:type="character" w:customStyle="1" w:styleId="HeaderChar">
    <w:name w:val="Header Char"/>
    <w:aliases w:val="Ylä- ja alatunniste Char"/>
    <w:basedOn w:val="DefaultParagraphFont"/>
    <w:link w:val="Header"/>
    <w:rsid w:val="00FE0343"/>
    <w:rPr>
      <w:rFonts w:asciiTheme="majorHAnsi" w:hAnsiTheme="majorHAnsi"/>
      <w:sz w:val="16"/>
      <w:szCs w:val="24"/>
    </w:rPr>
  </w:style>
  <w:style w:type="paragraph" w:styleId="CommentSubject">
    <w:name w:val="annotation subject"/>
    <w:basedOn w:val="CommentText"/>
    <w:next w:val="CommentText"/>
    <w:link w:val="CommentSubjectChar"/>
    <w:uiPriority w:val="99"/>
    <w:semiHidden/>
    <w:unhideWhenUsed/>
    <w:rsid w:val="00CD2C23"/>
    <w:rPr>
      <w:b/>
      <w:bCs/>
    </w:rPr>
  </w:style>
  <w:style w:type="character" w:customStyle="1" w:styleId="CommentSubjectChar">
    <w:name w:val="Comment Subject Char"/>
    <w:basedOn w:val="CommentTextChar"/>
    <w:link w:val="CommentSubject"/>
    <w:uiPriority w:val="99"/>
    <w:semiHidden/>
    <w:rsid w:val="00CD2C23"/>
    <w:rPr>
      <w:rFonts w:ascii="Georgia" w:hAnsi="Georgia"/>
      <w:b/>
      <w:bCs/>
    </w:rPr>
  </w:style>
  <w:style w:type="paragraph" w:customStyle="1" w:styleId="Taulukonleipteksti">
    <w:name w:val="Taulukon leipäteksti"/>
    <w:link w:val="TaulukonleiptekstiChar"/>
    <w:rsid w:val="00BF7041"/>
    <w:pPr>
      <w:framePr w:hSpace="141" w:wrap="around" w:vAnchor="page" w:hAnchor="margin" w:y="6870"/>
    </w:pPr>
    <w:rPr>
      <w:rFonts w:asciiTheme="majorHAnsi" w:hAnsiTheme="majorHAnsi" w:cstheme="majorHAnsi"/>
      <w:szCs w:val="24"/>
    </w:rPr>
  </w:style>
  <w:style w:type="character" w:customStyle="1" w:styleId="TaulukonleiptekstiChar">
    <w:name w:val="Taulukon leipäteksti Char"/>
    <w:basedOn w:val="DefaultParagraphFont"/>
    <w:link w:val="Taulukonleipteksti"/>
    <w:rsid w:val="00BF7041"/>
    <w:rPr>
      <w:rFonts w:asciiTheme="majorHAnsi" w:hAnsiTheme="majorHAnsi" w:cstheme="majorHAnsi"/>
      <w:szCs w:val="24"/>
    </w:rPr>
  </w:style>
  <w:style w:type="paragraph" w:customStyle="1" w:styleId="Groteskilista">
    <w:name w:val="Groteskilista"/>
    <w:basedOn w:val="Default"/>
    <w:link w:val="GroteskilistaChar"/>
    <w:rsid w:val="007979E1"/>
    <w:pPr>
      <w:numPr>
        <w:numId w:val="2"/>
      </w:numPr>
      <w:ind w:left="357" w:hanging="357"/>
    </w:pPr>
    <w:rPr>
      <w:rFonts w:asciiTheme="majorHAnsi" w:hAnsiTheme="majorHAnsi" w:cstheme="majorHAnsi"/>
      <w:sz w:val="20"/>
      <w:szCs w:val="20"/>
    </w:rPr>
  </w:style>
  <w:style w:type="character" w:customStyle="1" w:styleId="DefaultChar">
    <w:name w:val="Default Char"/>
    <w:basedOn w:val="DefaultParagraphFont"/>
    <w:link w:val="Default"/>
    <w:rsid w:val="007979E1"/>
    <w:rPr>
      <w:rFonts w:ascii="Arial" w:hAnsi="Arial" w:cs="Arial"/>
      <w:color w:val="000000"/>
      <w:sz w:val="24"/>
      <w:szCs w:val="24"/>
    </w:rPr>
  </w:style>
  <w:style w:type="character" w:customStyle="1" w:styleId="GroteskilistaChar">
    <w:name w:val="Groteskilista Char"/>
    <w:basedOn w:val="DefaultChar"/>
    <w:link w:val="Groteskilista"/>
    <w:rsid w:val="007979E1"/>
    <w:rPr>
      <w:rFonts w:asciiTheme="majorHAnsi" w:hAnsiTheme="majorHAnsi" w:cstheme="majorHAnsi"/>
      <w:color w:val="000000"/>
      <w:sz w:val="24"/>
      <w:szCs w:val="24"/>
    </w:rPr>
  </w:style>
  <w:style w:type="character" w:customStyle="1" w:styleId="Heading4Char">
    <w:name w:val="Heading 4 Char"/>
    <w:basedOn w:val="DefaultParagraphFont"/>
    <w:link w:val="Heading4"/>
    <w:uiPriority w:val="9"/>
    <w:semiHidden/>
    <w:rsid w:val="00FE0343"/>
    <w:rPr>
      <w:rFonts w:asciiTheme="majorHAnsi" w:eastAsiaTheme="majorEastAsia" w:hAnsiTheme="majorHAnsi" w:cstheme="majorBidi"/>
      <w:b/>
      <w:bCs/>
      <w:i/>
      <w:iCs/>
      <w:color w:val="EC008C" w:themeColor="accent1"/>
      <w:szCs w:val="24"/>
    </w:rPr>
  </w:style>
  <w:style w:type="paragraph" w:styleId="NormalWeb">
    <w:name w:val="Normal (Web)"/>
    <w:basedOn w:val="Normal"/>
    <w:rsid w:val="00617C97"/>
    <w:pPr>
      <w:spacing w:before="100" w:beforeAutospacing="1" w:after="100" w:afterAutospacing="1" w:line="240" w:lineRule="auto"/>
    </w:pPr>
    <w:rPr>
      <w:rFonts w:ascii="Times New Roman" w:hAnsi="Times New Roman"/>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9130991">
      <w:bodyDiv w:val="1"/>
      <w:marLeft w:val="0"/>
      <w:marRight w:val="0"/>
      <w:marTop w:val="0"/>
      <w:marBottom w:val="0"/>
      <w:divBdr>
        <w:top w:val="none" w:sz="0" w:space="0" w:color="auto"/>
        <w:left w:val="none" w:sz="0" w:space="0" w:color="auto"/>
        <w:bottom w:val="none" w:sz="0" w:space="0" w:color="auto"/>
        <w:right w:val="none" w:sz="0" w:space="0" w:color="auto"/>
      </w:divBdr>
    </w:div>
    <w:div w:id="1264656068">
      <w:bodyDiv w:val="1"/>
      <w:marLeft w:val="0"/>
      <w:marRight w:val="0"/>
      <w:marTop w:val="0"/>
      <w:marBottom w:val="0"/>
      <w:divBdr>
        <w:top w:val="none" w:sz="0" w:space="0" w:color="auto"/>
        <w:left w:val="none" w:sz="0" w:space="0" w:color="auto"/>
        <w:bottom w:val="none" w:sz="0" w:space="0" w:color="auto"/>
        <w:right w:val="none" w:sz="0" w:space="0" w:color="auto"/>
      </w:divBdr>
      <w:divsChild>
        <w:div w:id="263609012">
          <w:marLeft w:val="547"/>
          <w:marRight w:val="0"/>
          <w:marTop w:val="67"/>
          <w:marBottom w:val="0"/>
          <w:divBdr>
            <w:top w:val="none" w:sz="0" w:space="0" w:color="auto"/>
            <w:left w:val="none" w:sz="0" w:space="0" w:color="auto"/>
            <w:bottom w:val="none" w:sz="0" w:space="0" w:color="auto"/>
            <w:right w:val="none" w:sz="0" w:space="0" w:color="auto"/>
          </w:divBdr>
        </w:div>
      </w:divsChild>
    </w:div>
    <w:div w:id="1775590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minedu.fi/OPM/Julkaisut/2009/Tutkintojen_kansallinen_viitekehys.htm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khatme\AppData\Local\Microsoft\Windows\Temporary%20Internet%20Files\Content.Outlook\RAJR2XT7\SAVONIA_ops_FI.dotx" TargetMode="External"/></Relationships>
</file>

<file path=word/theme/theme1.xml><?xml version="1.0" encoding="utf-8"?>
<a:theme xmlns:a="http://schemas.openxmlformats.org/drawingml/2006/main" name="Savonia_uusi">
  <a:themeElements>
    <a:clrScheme name="Savonia">
      <a:dk1>
        <a:sysClr val="windowText" lastClr="000000"/>
      </a:dk1>
      <a:lt1>
        <a:srgbClr val="FFFFFF"/>
      </a:lt1>
      <a:dk2>
        <a:srgbClr val="262626"/>
      </a:dk2>
      <a:lt2>
        <a:srgbClr val="EEECE1"/>
      </a:lt2>
      <a:accent1>
        <a:srgbClr val="EC008C"/>
      </a:accent1>
      <a:accent2>
        <a:srgbClr val="B41E8E"/>
      </a:accent2>
      <a:accent3>
        <a:srgbClr val="8DC63F"/>
      </a:accent3>
      <a:accent4>
        <a:srgbClr val="00ACCD"/>
      </a:accent4>
      <a:accent5>
        <a:srgbClr val="F58220"/>
      </a:accent5>
      <a:accent6>
        <a:srgbClr val="EEC216"/>
      </a:accent6>
      <a:hlink>
        <a:srgbClr val="EC008C"/>
      </a:hlink>
      <a:folHlink>
        <a:srgbClr val="B41E8E"/>
      </a:folHlink>
    </a:clrScheme>
    <a:fontScheme name="Savonia">
      <a:majorFont>
        <a:latin typeface="Tahoma"/>
        <a:ea typeface=""/>
        <a:cs typeface=""/>
      </a:majorFont>
      <a:minorFont>
        <a:latin typeface="Georg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2011-06-08T00:00:00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Asiakirja" ma:contentTypeID="0x010100B988FA04FFBE9344A5B459D7D40FB0F6" ma:contentTypeVersion="2" ma:contentTypeDescription="Luo uusi asiakirja." ma:contentTypeScope="" ma:versionID="a9f178d44aa083599794d0fe29f66890">
  <xsd:schema xmlns:xsd="http://www.w3.org/2001/XMLSchema" xmlns:xs="http://www.w3.org/2001/XMLSchema" xmlns:p="http://schemas.microsoft.com/office/2006/metadata/properties" xmlns:ns2="c0f46d4c-08e9-4d64-91bc-35629c033041" targetNamespace="http://schemas.microsoft.com/office/2006/metadata/properties" ma:root="true" ma:fieldsID="6772907ad848b2d27d1b513cd40a2bec" ns2:_="">
    <xsd:import namespace="c0f46d4c-08e9-4d64-91bc-35629c03304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f46d4c-08e9-4d64-91bc-35629c0330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807A260-92A9-4AC8-9AD5-8D83029B20D0}">
  <ds:schemaRefs>
    <ds:schemaRef ds:uri="http://purl.org/dc/dcmitype/"/>
    <ds:schemaRef ds:uri="http://www.w3.org/XML/1998/namespace"/>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c0f46d4c-08e9-4d64-91bc-35629c033041"/>
    <ds:schemaRef ds:uri="http://purl.org/dc/terms/"/>
  </ds:schemaRefs>
</ds:datastoreItem>
</file>

<file path=customXml/itemProps3.xml><?xml version="1.0" encoding="utf-8"?>
<ds:datastoreItem xmlns:ds="http://schemas.openxmlformats.org/officeDocument/2006/customXml" ds:itemID="{697939D4-9512-477C-8A2A-AE8280A669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f46d4c-08e9-4d64-91bc-35629c0330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F3859E-38CF-4487-819C-5D302DA28DCE}">
  <ds:schemaRefs>
    <ds:schemaRef ds:uri="http://schemas.microsoft.com/sharepoint/v3/contenttype/forms"/>
  </ds:schemaRefs>
</ds:datastoreItem>
</file>

<file path=customXml/itemProps5.xml><?xml version="1.0" encoding="utf-8"?>
<ds:datastoreItem xmlns:ds="http://schemas.openxmlformats.org/officeDocument/2006/customXml" ds:itemID="{9CE443E4-10A3-4FB0-860D-40FF94FF5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SAVONIA_ops_FI</Template>
  <TotalTime>0</TotalTime>
  <Pages>13</Pages>
  <Words>2202</Words>
  <Characters>21046</Characters>
  <Application>Microsoft Office Word</Application>
  <DocSecurity>0</DocSecurity>
  <Lines>175</Lines>
  <Paragraphs>46</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
      <vt:lpstr/>
    </vt:vector>
  </TitlesOfParts>
  <Company>Savonia-AMK Ky</Company>
  <LinksUpToDate>false</LinksUpToDate>
  <CharactersWithSpaces>23202</CharactersWithSpaces>
  <SharedDoc>false</SharedDoc>
  <HLinks>
    <vt:vector size="6" baseType="variant">
      <vt:variant>
        <vt:i4>6094900</vt:i4>
      </vt:variant>
      <vt:variant>
        <vt:i4>-1</vt:i4>
      </vt:variant>
      <vt:variant>
        <vt:i4>2049</vt:i4>
      </vt:variant>
      <vt:variant>
        <vt:i4>1</vt:i4>
      </vt:variant>
      <vt:variant>
        <vt:lpwstr>Savonia_Word_tunniste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Mervi Hätinen</dc:creator>
  <cp:lastModifiedBy>Marja-Riitta Kivi</cp:lastModifiedBy>
  <cp:revision>2</cp:revision>
  <cp:lastPrinted>2018-05-31T07:02:00Z</cp:lastPrinted>
  <dcterms:created xsi:type="dcterms:W3CDTF">2018-06-01T08:08:00Z</dcterms:created>
  <dcterms:modified xsi:type="dcterms:W3CDTF">2018-06-01T08:08:00Z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0x010100B988FA04FFBE9344A5B459D7D40FB0F6</vt:lpwstr>
  </property>
  <property fmtid="{D5CDD505-2E9C-101B-9397-08002B2CF9AE}" pid="3" name="_dlc_DocIdItemGuid">
    <vt:lpwstr>871259af-3a00-4bed-9b4a-0f6ef23d9889</vt:lpwstr>
  </property>
  <property fmtid="{D5CDD505-2E9C-101B-9397-08002B2CF9AE}" pid="4" name="Asiasanat">
    <vt:lpwstr/>
  </property>
</Properties>
</file>