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98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A8419D" w:rsidRPr="007716C7" w:rsidTr="001B1147">
        <w:tc>
          <w:tcPr>
            <w:tcW w:w="1204" w:type="dxa"/>
            <w:shd w:val="clear" w:color="auto" w:fill="31A3B5"/>
          </w:tcPr>
          <w:p w:rsidR="00A8419D" w:rsidRPr="0023795B" w:rsidRDefault="00A8419D" w:rsidP="001B1147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:rsidR="00A8419D" w:rsidRPr="00AF24F9" w:rsidRDefault="00A8419D" w:rsidP="001B1147">
            <w:pPr>
              <w:rPr>
                <w:rFonts w:ascii="Tahoma" w:hAnsi="Tahoma" w:cs="Tahoma"/>
                <w:b/>
                <w:color w:val="FFFFFF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 xml:space="preserve"> </w:t>
            </w:r>
            <w:r w:rsidR="00B34F96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 xml:space="preserve">Annual themes </w:t>
            </w:r>
            <w:r w:rsidR="001848A8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 xml:space="preserve">divided </w:t>
            </w:r>
            <w:r w:rsidR="00447F83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 xml:space="preserve">into </w:t>
            </w:r>
            <w:r w:rsidR="001848A8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 xml:space="preserve">autumn </w:t>
            </w:r>
            <w:r w:rsidR="00447F83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&amp;</w:t>
            </w:r>
            <w:r w:rsidR="007716C7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br/>
              <w:t xml:space="preserve"> </w:t>
            </w:r>
            <w:r w:rsidR="00A015E1" w:rsidRPr="00AF24F9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spring term themes</w:t>
            </w:r>
          </w:p>
        </w:tc>
        <w:tc>
          <w:tcPr>
            <w:tcW w:w="4961" w:type="dxa"/>
            <w:shd w:val="clear" w:color="auto" w:fill="31A3B5"/>
          </w:tcPr>
          <w:p w:rsidR="00A8419D" w:rsidRPr="007716C7" w:rsidRDefault="00B34F96" w:rsidP="001B1147">
            <w:pPr>
              <w:rPr>
                <w:rFonts w:ascii="Tahoma" w:hAnsi="Tahoma" w:cs="Tahoma"/>
                <w:b/>
                <w:color w:val="FFFFFF"/>
                <w:szCs w:val="20"/>
                <w:lang w:val="en-US"/>
              </w:rPr>
            </w:pPr>
            <w:r w:rsidRPr="007716C7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Competence targets</w:t>
            </w:r>
          </w:p>
        </w:tc>
      </w:tr>
      <w:tr w:rsidR="00A8419D" w:rsidRPr="001B1147" w:rsidTr="001B1147">
        <w:tc>
          <w:tcPr>
            <w:tcW w:w="1204" w:type="dxa"/>
          </w:tcPr>
          <w:p w:rsidR="00A8419D" w:rsidRPr="007716C7" w:rsidRDefault="00A8419D" w:rsidP="001B1147">
            <w:pPr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 w:rsidRPr="007716C7">
              <w:rPr>
                <w:rFonts w:asciiTheme="majorHAnsi" w:hAnsiTheme="majorHAnsi" w:cstheme="majorHAnsi"/>
                <w:b/>
                <w:szCs w:val="20"/>
                <w:lang w:val="en-US"/>
              </w:rPr>
              <w:t>1</w:t>
            </w:r>
            <w:r w:rsidR="00A45C78" w:rsidRPr="007716C7">
              <w:rPr>
                <w:rFonts w:asciiTheme="majorHAnsi" w:hAnsiTheme="majorHAnsi" w:cstheme="majorHAnsi"/>
                <w:b/>
                <w:szCs w:val="20"/>
                <w:lang w:val="en-US"/>
              </w:rPr>
              <w:t>st year</w:t>
            </w:r>
          </w:p>
        </w:tc>
        <w:tc>
          <w:tcPr>
            <w:tcW w:w="4253" w:type="dxa"/>
          </w:tcPr>
          <w:p w:rsidR="00A45C78" w:rsidRPr="00AF24F9" w:rsidRDefault="00D17A4D" w:rsidP="001B1147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Cs w:val="20"/>
                <w:lang w:val="en-US"/>
              </w:rPr>
              <w:t>Essential Busin</w:t>
            </w:r>
            <w:r w:rsidR="00A45C78" w:rsidRPr="00AF24F9">
              <w:rPr>
                <w:rFonts w:ascii="Tahoma" w:hAnsi="Tahoma" w:cs="Tahoma"/>
                <w:b/>
                <w:szCs w:val="20"/>
                <w:lang w:val="en-US"/>
              </w:rPr>
              <w:t>ess Skill</w:t>
            </w:r>
            <w:r>
              <w:rPr>
                <w:rFonts w:ascii="Tahoma" w:hAnsi="Tahoma" w:cs="Tahoma"/>
                <w:b/>
                <w:szCs w:val="20"/>
                <w:lang w:val="en-US"/>
              </w:rPr>
              <w:t>s</w:t>
            </w:r>
            <w:r w:rsidR="00A45C78"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 (60 </w:t>
            </w:r>
            <w:proofErr w:type="spellStart"/>
            <w:r w:rsidR="00A45C78" w:rsidRPr="00AF24F9">
              <w:rPr>
                <w:rFonts w:ascii="Tahoma" w:hAnsi="Tahoma" w:cs="Tahoma"/>
                <w:b/>
                <w:szCs w:val="20"/>
                <w:lang w:val="en-US"/>
              </w:rPr>
              <w:t>cr</w:t>
            </w:r>
            <w:proofErr w:type="spellEnd"/>
            <w:r w:rsidR="00A45C78" w:rsidRPr="00AF24F9">
              <w:rPr>
                <w:rFonts w:ascii="Tahoma" w:hAnsi="Tahoma" w:cs="Tahoma"/>
                <w:b/>
                <w:szCs w:val="20"/>
                <w:lang w:val="en-US"/>
              </w:rPr>
              <w:t>)</w:t>
            </w:r>
            <w:r w:rsidR="00A8419D" w:rsidRPr="00AF24F9">
              <w:rPr>
                <w:rFonts w:ascii="Tahoma" w:hAnsi="Tahoma" w:cs="Tahoma"/>
                <w:b/>
                <w:szCs w:val="20"/>
                <w:lang w:val="en-US"/>
              </w:rPr>
              <w:br/>
            </w:r>
            <w:r w:rsidR="00A45C78" w:rsidRPr="00AF24F9">
              <w:rPr>
                <w:rFonts w:ascii="Tahoma" w:hAnsi="Tahoma" w:cs="Tahoma"/>
                <w:szCs w:val="20"/>
                <w:lang w:val="en-GB"/>
              </w:rPr>
              <w:t xml:space="preserve">Planning and Starting a Business (30 </w:t>
            </w:r>
            <w:proofErr w:type="spellStart"/>
            <w:r w:rsidR="00A45C78" w:rsidRPr="00AF24F9">
              <w:rPr>
                <w:rFonts w:ascii="Tahoma" w:hAnsi="Tahoma" w:cs="Tahoma"/>
                <w:szCs w:val="20"/>
                <w:lang w:val="en-GB"/>
              </w:rPr>
              <w:t>cr</w:t>
            </w:r>
            <w:proofErr w:type="spellEnd"/>
            <w:r w:rsidR="00A45C78" w:rsidRPr="00AF24F9">
              <w:rPr>
                <w:rFonts w:ascii="Tahoma" w:hAnsi="Tahoma" w:cs="Tahoma"/>
                <w:szCs w:val="20"/>
                <w:lang w:val="en-GB"/>
              </w:rPr>
              <w:t>)</w:t>
            </w:r>
            <w:r w:rsidR="00A45C78" w:rsidRPr="00AF24F9">
              <w:rPr>
                <w:rFonts w:ascii="Tahoma" w:hAnsi="Tahoma" w:cs="Tahoma"/>
                <w:szCs w:val="20"/>
                <w:lang w:val="en-GB"/>
              </w:rPr>
              <w:br/>
              <w:t xml:space="preserve">Operating a Successful Business (30 </w:t>
            </w:r>
            <w:proofErr w:type="spellStart"/>
            <w:r w:rsidR="00A45C78" w:rsidRPr="00AF24F9">
              <w:rPr>
                <w:rFonts w:ascii="Tahoma" w:hAnsi="Tahoma" w:cs="Tahoma"/>
                <w:szCs w:val="20"/>
                <w:lang w:val="en-GB"/>
              </w:rPr>
              <w:t>cr</w:t>
            </w:r>
            <w:proofErr w:type="spellEnd"/>
            <w:r w:rsidR="00A45C78" w:rsidRPr="00AF24F9">
              <w:rPr>
                <w:rFonts w:ascii="Tahoma" w:hAnsi="Tahoma" w:cs="Tahoma"/>
                <w:szCs w:val="20"/>
                <w:lang w:val="en-GB"/>
              </w:rPr>
              <w:t>)</w:t>
            </w:r>
          </w:p>
          <w:p w:rsidR="00A8419D" w:rsidRPr="00AF24F9" w:rsidRDefault="00A8419D" w:rsidP="001B1147">
            <w:pPr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A8419D" w:rsidRPr="00AF24F9" w:rsidRDefault="00F16ADB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The first </w:t>
            </w:r>
            <w:r w:rsidR="00A45C78" w:rsidRPr="00AF24F9">
              <w:rPr>
                <w:rFonts w:ascii="Tahoma" w:hAnsi="Tahoma" w:cs="Tahoma"/>
                <w:szCs w:val="20"/>
                <w:lang w:val="en-US"/>
              </w:rPr>
              <w:t xml:space="preserve">year aims at establishing essential business knowledge. </w:t>
            </w:r>
            <w:r w:rsidR="007716C7">
              <w:rPr>
                <w:rFonts w:ascii="Tahoma" w:hAnsi="Tahoma" w:cs="Tahoma"/>
                <w:szCs w:val="20"/>
                <w:lang w:val="en-US"/>
              </w:rPr>
              <w:t xml:space="preserve">The studies </w:t>
            </w:r>
            <w:r w:rsidR="00ED7EA3" w:rsidRPr="00AF24F9">
              <w:rPr>
                <w:rFonts w:ascii="Tahoma" w:hAnsi="Tahoma" w:cs="Tahoma"/>
                <w:szCs w:val="20"/>
                <w:lang w:val="en-GB"/>
              </w:rPr>
              <w:t xml:space="preserve">enable the student to </w:t>
            </w:r>
            <w:r w:rsidR="00A45C78" w:rsidRPr="00AF24F9">
              <w:rPr>
                <w:rFonts w:ascii="Tahoma" w:hAnsi="Tahoma" w:cs="Tahoma"/>
                <w:szCs w:val="20"/>
                <w:lang w:val="en-GB"/>
              </w:rPr>
              <w:t xml:space="preserve">form a coherent picture of everyday business operations </w:t>
            </w:r>
            <w:r w:rsidR="007716C7">
              <w:rPr>
                <w:rFonts w:ascii="Tahoma" w:hAnsi="Tahoma" w:cs="Tahoma"/>
                <w:szCs w:val="20"/>
                <w:lang w:val="en-GB"/>
              </w:rPr>
              <w:t xml:space="preserve">with special emphasis on the knowledge and skills needed in the early phases of the business life cycle. </w:t>
            </w:r>
          </w:p>
        </w:tc>
      </w:tr>
      <w:tr w:rsidR="00A8419D" w:rsidRPr="001B1147" w:rsidTr="001B1147">
        <w:tc>
          <w:tcPr>
            <w:tcW w:w="1204" w:type="dxa"/>
          </w:tcPr>
          <w:p w:rsidR="00A8419D" w:rsidRPr="0023795B" w:rsidRDefault="00A45C78" w:rsidP="001B1147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2nd 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</w:rPr>
              <w:t>year</w:t>
            </w:r>
            <w:proofErr w:type="spellEnd"/>
          </w:p>
        </w:tc>
        <w:tc>
          <w:tcPr>
            <w:tcW w:w="4253" w:type="dxa"/>
          </w:tcPr>
          <w:p w:rsidR="00A45C78" w:rsidRPr="00AF24F9" w:rsidRDefault="00A45C78" w:rsidP="001B1147">
            <w:pPr>
              <w:rPr>
                <w:rFonts w:ascii="Tahoma" w:hAnsi="Tahoma" w:cs="Tahoma"/>
                <w:b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Essentials of </w:t>
            </w:r>
            <w:proofErr w:type="spellStart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Internationalisation</w:t>
            </w:r>
            <w:proofErr w:type="spellEnd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 (60 </w:t>
            </w:r>
            <w:proofErr w:type="spellStart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cr</w:t>
            </w:r>
            <w:proofErr w:type="spellEnd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)</w:t>
            </w:r>
            <w:r w:rsidR="00E30D24" w:rsidRPr="00AF24F9">
              <w:rPr>
                <w:rFonts w:ascii="Tahoma" w:hAnsi="Tahoma" w:cs="Tahoma"/>
                <w:b/>
                <w:szCs w:val="20"/>
                <w:lang w:val="en-US"/>
              </w:rPr>
              <w:br/>
            </w:r>
            <w:r w:rsidR="00E30D24" w:rsidRPr="00AF24F9">
              <w:rPr>
                <w:rFonts w:ascii="Tahoma" w:hAnsi="Tahoma" w:cs="Tahoma"/>
                <w:szCs w:val="20"/>
                <w:lang w:val="en-GB"/>
              </w:rPr>
              <w:t xml:space="preserve">Tools for Global Business (30 </w:t>
            </w:r>
            <w:proofErr w:type="spellStart"/>
            <w:r w:rsidR="00E30D24" w:rsidRPr="00AF24F9">
              <w:rPr>
                <w:rFonts w:ascii="Tahoma" w:hAnsi="Tahoma" w:cs="Tahoma"/>
                <w:szCs w:val="20"/>
                <w:lang w:val="en-GB"/>
              </w:rPr>
              <w:t>cr</w:t>
            </w:r>
            <w:proofErr w:type="spellEnd"/>
            <w:r w:rsidR="00E30D24" w:rsidRPr="00AF24F9">
              <w:rPr>
                <w:rFonts w:ascii="Tahoma" w:hAnsi="Tahoma" w:cs="Tahoma"/>
                <w:szCs w:val="20"/>
                <w:lang w:val="en-GB"/>
              </w:rPr>
              <w:t>)</w:t>
            </w:r>
            <w:r w:rsidR="00E30D24" w:rsidRPr="00AF24F9">
              <w:rPr>
                <w:rFonts w:ascii="Tahoma" w:hAnsi="Tahoma" w:cs="Tahoma"/>
                <w:szCs w:val="20"/>
                <w:lang w:val="en-GB"/>
              </w:rPr>
              <w:br/>
              <w:t xml:space="preserve">Preparing for Internationalisation (30 </w:t>
            </w:r>
            <w:proofErr w:type="spellStart"/>
            <w:r w:rsidR="00E30D24" w:rsidRPr="00AF24F9">
              <w:rPr>
                <w:rFonts w:ascii="Tahoma" w:hAnsi="Tahoma" w:cs="Tahoma"/>
                <w:szCs w:val="20"/>
                <w:lang w:val="en-GB"/>
              </w:rPr>
              <w:t>cr</w:t>
            </w:r>
            <w:proofErr w:type="spellEnd"/>
            <w:r w:rsidR="00E30D24" w:rsidRPr="00AF24F9">
              <w:rPr>
                <w:rFonts w:ascii="Tahoma" w:hAnsi="Tahoma" w:cs="Tahoma"/>
                <w:szCs w:val="20"/>
                <w:lang w:val="en-GB"/>
              </w:rPr>
              <w:t>)</w:t>
            </w:r>
          </w:p>
          <w:p w:rsidR="00A8419D" w:rsidRPr="00AF24F9" w:rsidRDefault="00A8419D" w:rsidP="001B1147">
            <w:pPr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A8419D" w:rsidRPr="00AF24F9" w:rsidRDefault="00A45C78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szCs w:val="20"/>
                <w:lang w:val="en-GB"/>
              </w:rPr>
              <w:t>The second</w:t>
            </w:r>
            <w:r w:rsidR="00F16ADB" w:rsidRPr="00AF24F9">
              <w:rPr>
                <w:rFonts w:ascii="Tahoma" w:hAnsi="Tahoma" w:cs="Tahoma"/>
                <w:szCs w:val="20"/>
                <w:lang w:val="en-GB"/>
              </w:rPr>
              <w:t>-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 xml:space="preserve">year themes shift focus to </w:t>
            </w:r>
            <w:r w:rsidR="008D392D">
              <w:rPr>
                <w:rFonts w:ascii="Tahoma" w:hAnsi="Tahoma" w:cs="Tahoma"/>
                <w:szCs w:val="20"/>
                <w:lang w:val="en-GB"/>
              </w:rPr>
              <w:t xml:space="preserve">the requirements of 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>international operations. Tools for</w:t>
            </w:r>
            <w:r w:rsidR="00E81BB8" w:rsidRPr="00AF24F9">
              <w:rPr>
                <w:rFonts w:ascii="Tahoma" w:hAnsi="Tahoma" w:cs="Tahoma"/>
                <w:szCs w:val="20"/>
                <w:lang w:val="en-GB"/>
              </w:rPr>
              <w:t xml:space="preserve"> Global 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>Business covers the skills and knowledge needed when starting international business operations. Preparing for Internationalisation consists of analysing internal and target marke</w:t>
            </w:r>
            <w:r w:rsidR="00E81BB8" w:rsidRPr="00AF24F9">
              <w:rPr>
                <w:rFonts w:ascii="Tahoma" w:hAnsi="Tahoma" w:cs="Tahoma"/>
                <w:szCs w:val="20"/>
                <w:lang w:val="en-GB"/>
              </w:rPr>
              <w:t>t characteristics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 xml:space="preserve"> from the view</w:t>
            </w:r>
            <w:r w:rsidR="008D392D">
              <w:rPr>
                <w:rFonts w:ascii="Tahoma" w:hAnsi="Tahoma" w:cs="Tahoma"/>
                <w:szCs w:val="20"/>
                <w:lang w:val="en-GB"/>
              </w:rPr>
              <w:t xml:space="preserve"> point of a local organisation. T</w:t>
            </w:r>
            <w:r w:rsidR="00E81BB8" w:rsidRPr="00AF24F9">
              <w:rPr>
                <w:rFonts w:ascii="Tahoma" w:hAnsi="Tahoma" w:cs="Tahoma"/>
                <w:szCs w:val="20"/>
                <w:lang w:val="en-GB"/>
              </w:rPr>
              <w:t xml:space="preserve">he student co-operates with local businesses in assignments and projects to support their internationalisation. </w:t>
            </w:r>
          </w:p>
        </w:tc>
      </w:tr>
      <w:tr w:rsidR="00A8419D" w:rsidRPr="001B1147" w:rsidTr="001B1147">
        <w:tc>
          <w:tcPr>
            <w:tcW w:w="1204" w:type="dxa"/>
          </w:tcPr>
          <w:p w:rsidR="00A8419D" w:rsidRPr="0023795B" w:rsidRDefault="00A45C78" w:rsidP="001B1147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3rd 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</w:rPr>
              <w:t>year</w:t>
            </w:r>
            <w:proofErr w:type="spellEnd"/>
            <w:r w:rsidR="00A8419D" w:rsidRPr="0023795B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A8419D" w:rsidRPr="00AF24F9" w:rsidRDefault="00A45C78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Managing </w:t>
            </w:r>
            <w:proofErr w:type="spellStart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Internationalisation</w:t>
            </w:r>
            <w:proofErr w:type="spellEnd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 (60 </w:t>
            </w:r>
            <w:proofErr w:type="spellStart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cr</w:t>
            </w:r>
            <w:proofErr w:type="spellEnd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)</w:t>
            </w:r>
            <w:r w:rsidR="007933C7" w:rsidRPr="00AF24F9">
              <w:rPr>
                <w:rFonts w:ascii="Tahoma" w:hAnsi="Tahoma" w:cs="Tahoma"/>
                <w:b/>
                <w:szCs w:val="20"/>
                <w:lang w:val="en-US"/>
              </w:rPr>
              <w:br/>
            </w:r>
            <w:r w:rsidR="007933C7" w:rsidRPr="00AF24F9">
              <w:rPr>
                <w:rFonts w:ascii="Tahoma" w:hAnsi="Tahoma" w:cs="Tahoma"/>
                <w:szCs w:val="20"/>
                <w:lang w:val="en-US"/>
              </w:rPr>
              <w:t xml:space="preserve">Operating Globally (30 </w:t>
            </w:r>
            <w:proofErr w:type="spellStart"/>
            <w:r w:rsidR="007933C7" w:rsidRPr="00AF24F9">
              <w:rPr>
                <w:rFonts w:ascii="Tahoma" w:hAnsi="Tahoma" w:cs="Tahoma"/>
                <w:szCs w:val="20"/>
                <w:lang w:val="en-US"/>
              </w:rPr>
              <w:t>cr</w:t>
            </w:r>
            <w:proofErr w:type="spellEnd"/>
            <w:r w:rsidR="007933C7" w:rsidRPr="00AF24F9">
              <w:rPr>
                <w:rFonts w:ascii="Tahoma" w:hAnsi="Tahoma" w:cs="Tahoma"/>
                <w:szCs w:val="20"/>
                <w:lang w:val="en-US"/>
              </w:rPr>
              <w:t>)</w:t>
            </w:r>
            <w:r w:rsidR="007933C7" w:rsidRPr="00AF24F9">
              <w:rPr>
                <w:rFonts w:ascii="Tahoma" w:hAnsi="Tahoma" w:cs="Tahoma"/>
                <w:szCs w:val="20"/>
                <w:lang w:val="en-US"/>
              </w:rPr>
              <w:br/>
              <w:t xml:space="preserve">Developing Global Business (30 </w:t>
            </w:r>
            <w:proofErr w:type="spellStart"/>
            <w:r w:rsidR="007933C7" w:rsidRPr="00AF24F9">
              <w:rPr>
                <w:rFonts w:ascii="Tahoma" w:hAnsi="Tahoma" w:cs="Tahoma"/>
                <w:szCs w:val="20"/>
                <w:lang w:val="en-US"/>
              </w:rPr>
              <w:t>cr</w:t>
            </w:r>
            <w:proofErr w:type="spellEnd"/>
            <w:r w:rsidR="007933C7" w:rsidRPr="00AF24F9">
              <w:rPr>
                <w:rFonts w:ascii="Tahoma" w:hAnsi="Tahoma" w:cs="Tahoma"/>
                <w:szCs w:val="20"/>
                <w:lang w:val="en-US"/>
              </w:rPr>
              <w:t>)</w:t>
            </w:r>
            <w:r w:rsidR="007933C7" w:rsidRPr="00AF24F9">
              <w:rPr>
                <w:rFonts w:ascii="Tahoma" w:hAnsi="Tahoma" w:cs="Tahoma"/>
                <w:b/>
                <w:szCs w:val="20"/>
                <w:lang w:val="en-US"/>
              </w:rPr>
              <w:br/>
            </w:r>
          </w:p>
          <w:p w:rsidR="00E90448" w:rsidRPr="00AF24F9" w:rsidRDefault="00E90448" w:rsidP="001B1147">
            <w:pPr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A8419D" w:rsidRPr="00AF24F9" w:rsidRDefault="00A45C78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szCs w:val="20"/>
                <w:lang w:val="en-GB"/>
              </w:rPr>
              <w:t>The</w:t>
            </w:r>
            <w:r w:rsidR="00F16ADB" w:rsidRPr="00AF24F9">
              <w:rPr>
                <w:rFonts w:ascii="Tahoma" w:hAnsi="Tahoma" w:cs="Tahoma"/>
                <w:szCs w:val="20"/>
                <w:lang w:val="en-GB"/>
              </w:rPr>
              <w:t xml:space="preserve"> third-year studies 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>focus</w:t>
            </w:r>
            <w:r w:rsidR="00F16ADB" w:rsidRPr="00AF24F9">
              <w:rPr>
                <w:rFonts w:ascii="Tahoma" w:hAnsi="Tahoma" w:cs="Tahoma"/>
                <w:szCs w:val="20"/>
                <w:lang w:val="en-GB"/>
              </w:rPr>
              <w:t xml:space="preserve"> 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 xml:space="preserve">on managing the daily operations in </w:t>
            </w:r>
            <w:r w:rsidR="00FB6083" w:rsidRPr="00AF24F9">
              <w:rPr>
                <w:rFonts w:ascii="Tahoma" w:hAnsi="Tahoma" w:cs="Tahoma"/>
                <w:szCs w:val="20"/>
                <w:lang w:val="en-GB"/>
              </w:rPr>
              <w:t>an interna</w:t>
            </w:r>
            <w:r w:rsidR="00E90448" w:rsidRPr="00AF24F9">
              <w:rPr>
                <w:rFonts w:ascii="Tahoma" w:hAnsi="Tahoma" w:cs="Tahoma"/>
                <w:szCs w:val="20"/>
                <w:lang w:val="en-GB"/>
              </w:rPr>
              <w:t xml:space="preserve">tional operational environment and the </w:t>
            </w:r>
            <w:r w:rsidRPr="00AF24F9">
              <w:rPr>
                <w:rFonts w:ascii="Tahoma" w:hAnsi="Tahoma" w:cs="Tahoma"/>
                <w:szCs w:val="20"/>
                <w:lang w:val="en-GB"/>
              </w:rPr>
              <w:t>continuous develo</w:t>
            </w:r>
            <w:r w:rsidR="00E90448" w:rsidRPr="00AF24F9">
              <w:rPr>
                <w:rFonts w:ascii="Tahoma" w:hAnsi="Tahoma" w:cs="Tahoma"/>
                <w:szCs w:val="20"/>
                <w:lang w:val="en-GB"/>
              </w:rPr>
              <w:t>pment of business performance.</w:t>
            </w:r>
          </w:p>
        </w:tc>
      </w:tr>
      <w:tr w:rsidR="00A8419D" w:rsidRPr="001B1147" w:rsidTr="001B1147">
        <w:tc>
          <w:tcPr>
            <w:tcW w:w="1204" w:type="dxa"/>
          </w:tcPr>
          <w:p w:rsidR="00A8419D" w:rsidRPr="0023795B" w:rsidRDefault="00A8419D" w:rsidP="001B114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4</w:t>
            </w:r>
            <w:r w:rsidR="00A45C78">
              <w:rPr>
                <w:rFonts w:asciiTheme="majorHAnsi" w:hAnsiTheme="majorHAnsi" w:cstheme="majorHAnsi"/>
                <w:b/>
                <w:szCs w:val="20"/>
              </w:rPr>
              <w:t xml:space="preserve">th </w:t>
            </w:r>
            <w:proofErr w:type="spellStart"/>
            <w:r w:rsidR="00A45C78">
              <w:rPr>
                <w:rFonts w:asciiTheme="majorHAnsi" w:hAnsiTheme="majorHAnsi" w:cstheme="majorHAnsi"/>
                <w:b/>
                <w:szCs w:val="20"/>
              </w:rPr>
              <w:t>year</w:t>
            </w:r>
            <w:proofErr w:type="spellEnd"/>
          </w:p>
        </w:tc>
        <w:tc>
          <w:tcPr>
            <w:tcW w:w="4253" w:type="dxa"/>
          </w:tcPr>
          <w:p w:rsidR="00A8419D" w:rsidRPr="00AF24F9" w:rsidRDefault="001D0DD2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 xml:space="preserve">Deepening  International Expertise (30 </w:t>
            </w:r>
            <w:proofErr w:type="spellStart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cr</w:t>
            </w:r>
            <w:proofErr w:type="spellEnd"/>
            <w:r w:rsidRPr="00AF24F9">
              <w:rPr>
                <w:rFonts w:ascii="Tahoma" w:hAnsi="Tahoma" w:cs="Tahoma"/>
                <w:b/>
                <w:szCs w:val="20"/>
                <w:lang w:val="en-US"/>
              </w:rPr>
              <w:t>)</w:t>
            </w:r>
          </w:p>
        </w:tc>
        <w:tc>
          <w:tcPr>
            <w:tcW w:w="4961" w:type="dxa"/>
          </w:tcPr>
          <w:p w:rsidR="00A8419D" w:rsidRPr="00AF24F9" w:rsidRDefault="00A45C78" w:rsidP="001B1147">
            <w:pPr>
              <w:rPr>
                <w:rFonts w:ascii="Tahoma" w:hAnsi="Tahoma" w:cs="Tahoma"/>
                <w:szCs w:val="20"/>
                <w:lang w:val="en-US"/>
              </w:rPr>
            </w:pP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The student </w:t>
            </w:r>
            <w:r w:rsidR="00F16ADB" w:rsidRPr="00AF24F9">
              <w:rPr>
                <w:rFonts w:ascii="Tahoma" w:hAnsi="Tahoma" w:cs="Tahoma"/>
                <w:szCs w:val="20"/>
                <w:lang w:val="en-US"/>
              </w:rPr>
              <w:t>is</w:t>
            </w: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 engaged in an innovative and focused research project that is closely related to </w:t>
            </w:r>
            <w:r w:rsidR="00F16ADB" w:rsidRPr="00AF24F9">
              <w:rPr>
                <w:rFonts w:ascii="Tahoma" w:hAnsi="Tahoma" w:cs="Tahoma"/>
                <w:szCs w:val="20"/>
                <w:lang w:val="en-US"/>
              </w:rPr>
              <w:t>global business</w:t>
            </w: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. </w:t>
            </w:r>
            <w:r w:rsidR="00F16ADB" w:rsidRPr="00AF24F9">
              <w:rPr>
                <w:rFonts w:ascii="Tahoma" w:hAnsi="Tahoma" w:cs="Tahoma"/>
                <w:szCs w:val="20"/>
                <w:lang w:val="en-US"/>
              </w:rPr>
              <w:t xml:space="preserve">The research (the thesis) and </w:t>
            </w: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internship </w:t>
            </w:r>
            <w:r w:rsidR="00F16ADB" w:rsidRPr="00AF24F9">
              <w:rPr>
                <w:rFonts w:ascii="Tahoma" w:hAnsi="Tahoma" w:cs="Tahoma"/>
                <w:szCs w:val="20"/>
                <w:lang w:val="en-US"/>
              </w:rPr>
              <w:t xml:space="preserve">are the final steps of achieving </w:t>
            </w:r>
            <w:r w:rsidRPr="00AF24F9">
              <w:rPr>
                <w:rFonts w:ascii="Tahoma" w:hAnsi="Tahoma" w:cs="Tahoma"/>
                <w:szCs w:val="20"/>
                <w:lang w:val="en-US"/>
              </w:rPr>
              <w:t xml:space="preserve">the competences </w:t>
            </w:r>
            <w:r w:rsidR="00F16ADB" w:rsidRPr="00AF24F9">
              <w:rPr>
                <w:rFonts w:ascii="Tahoma" w:hAnsi="Tahoma" w:cs="Tahoma"/>
                <w:szCs w:val="20"/>
                <w:lang w:val="en-US"/>
              </w:rPr>
              <w:t xml:space="preserve">that are essential for a global business expert. </w:t>
            </w:r>
          </w:p>
        </w:tc>
      </w:tr>
    </w:tbl>
    <w:p w:rsidR="00E16058" w:rsidRPr="001B1147" w:rsidRDefault="001B1147">
      <w:pPr>
        <w:rPr>
          <w:rFonts w:ascii="Arial" w:hAnsi="Arial" w:cs="Arial"/>
          <w:b/>
          <w:color w:val="FF0000"/>
          <w:lang w:val="en-US"/>
        </w:rPr>
      </w:pPr>
      <w:bookmarkStart w:id="0" w:name="_GoBack"/>
      <w:proofErr w:type="spellStart"/>
      <w:r w:rsidRPr="001B1147">
        <w:rPr>
          <w:rFonts w:ascii="Arial" w:hAnsi="Arial" w:cs="Arial"/>
          <w:b/>
          <w:color w:val="FF0000"/>
          <w:lang w:val="en-US"/>
        </w:rPr>
        <w:t>Tiedosto</w:t>
      </w:r>
      <w:proofErr w:type="spellEnd"/>
      <w:r w:rsidRPr="001B1147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1B1147">
        <w:rPr>
          <w:rFonts w:ascii="Arial" w:hAnsi="Arial" w:cs="Arial"/>
          <w:b/>
          <w:color w:val="FF0000"/>
          <w:lang w:val="en-US"/>
        </w:rPr>
        <w:t>Primuksessa</w:t>
      </w:r>
      <w:proofErr w:type="spellEnd"/>
      <w:r w:rsidRPr="001B1147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1B1147">
        <w:rPr>
          <w:rFonts w:ascii="Arial" w:hAnsi="Arial" w:cs="Arial"/>
          <w:b/>
          <w:color w:val="FF0000"/>
          <w:lang w:val="en-US"/>
        </w:rPr>
        <w:t>nimellä</w:t>
      </w:r>
      <w:proofErr w:type="spellEnd"/>
      <w:r w:rsidRPr="001B1147">
        <w:rPr>
          <w:rFonts w:ascii="Arial" w:hAnsi="Arial" w:cs="Arial"/>
          <w:b/>
          <w:color w:val="FF0000"/>
          <w:lang w:val="en-US"/>
        </w:rPr>
        <w:t xml:space="preserve"> LI17SP_5</w:t>
      </w:r>
      <w:bookmarkEnd w:id="0"/>
    </w:p>
    <w:sectPr w:rsidR="00E16058" w:rsidRPr="001B11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9D"/>
    <w:rsid w:val="001848A8"/>
    <w:rsid w:val="001B1147"/>
    <w:rsid w:val="001D0DD2"/>
    <w:rsid w:val="002C179A"/>
    <w:rsid w:val="0036511B"/>
    <w:rsid w:val="00447F83"/>
    <w:rsid w:val="0054397E"/>
    <w:rsid w:val="00665F0D"/>
    <w:rsid w:val="007716C7"/>
    <w:rsid w:val="007933C7"/>
    <w:rsid w:val="008D392D"/>
    <w:rsid w:val="009F7244"/>
    <w:rsid w:val="00A015E1"/>
    <w:rsid w:val="00A42B32"/>
    <w:rsid w:val="00A45C78"/>
    <w:rsid w:val="00A8419D"/>
    <w:rsid w:val="00AF24F9"/>
    <w:rsid w:val="00B34F96"/>
    <w:rsid w:val="00D17A4D"/>
    <w:rsid w:val="00E16058"/>
    <w:rsid w:val="00E30D24"/>
    <w:rsid w:val="00E81BB8"/>
    <w:rsid w:val="00E90448"/>
    <w:rsid w:val="00ED7EA3"/>
    <w:rsid w:val="00F16ADB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74ADC-1B14-443A-AD47-43AD20AD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9D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Terttu Niskanen</dc:creator>
  <cp:keywords/>
  <dc:description/>
  <cp:lastModifiedBy>Marja-Riitta Kivi</cp:lastModifiedBy>
  <cp:revision>3</cp:revision>
  <dcterms:created xsi:type="dcterms:W3CDTF">2016-10-04T12:57:00Z</dcterms:created>
  <dcterms:modified xsi:type="dcterms:W3CDTF">2016-10-04T12:57:00Z</dcterms:modified>
</cp:coreProperties>
</file>