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B4" w:rsidRDefault="00DC41B4" w:rsidP="00DC41B4">
      <w:pPr>
        <w:pStyle w:val="Heading2"/>
        <w:rPr>
          <w:rFonts w:eastAsia="Calibri"/>
        </w:rPr>
      </w:pPr>
      <w:bookmarkStart w:id="0" w:name="_Toc290881664"/>
      <w:r>
        <w:rPr>
          <w:rFonts w:eastAsia="Calibri"/>
        </w:rPr>
        <w:t xml:space="preserve">1.3 </w:t>
      </w:r>
      <w:r w:rsidR="00E13A98">
        <w:rPr>
          <w:rFonts w:eastAsia="Calibri"/>
        </w:rPr>
        <w:t>O</w:t>
      </w:r>
      <w:r w:rsidRPr="00B31AC6">
        <w:rPr>
          <w:rFonts w:eastAsia="Calibri"/>
        </w:rPr>
        <w:t>pintojen rakenne</w:t>
      </w:r>
      <w:bookmarkStart w:id="1" w:name="_GoBack"/>
      <w:bookmarkEnd w:id="0"/>
      <w:bookmarkEnd w:id="1"/>
    </w:p>
    <w:p w:rsidR="008E228B" w:rsidRPr="008E228B" w:rsidRDefault="008E228B" w:rsidP="008E228B">
      <w:pPr>
        <w:rPr>
          <w:color w:val="FF0000"/>
        </w:rPr>
      </w:pPr>
      <w:r w:rsidRPr="008E228B">
        <w:rPr>
          <w:color w:val="FF0000"/>
        </w:rPr>
        <w:t xml:space="preserve">Taulukko tiedostoksi </w:t>
      </w:r>
      <w:r>
        <w:rPr>
          <w:color w:val="FF0000"/>
        </w:rPr>
        <w:t>|ES16SP_3</w:t>
      </w:r>
      <w:r w:rsidRPr="008E228B">
        <w:rPr>
          <w:color w:val="FF0000"/>
        </w:rPr>
        <w:t>|</w:t>
      </w:r>
    </w:p>
    <w:p w:rsidR="00E13A98" w:rsidRPr="00BF3BBC" w:rsidRDefault="00E13A98" w:rsidP="00DC41B4">
      <w:pPr>
        <w:rPr>
          <w:rFonts w:cs="Calibri"/>
          <w:snapToGrid w:val="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229"/>
      </w:tblGrid>
      <w:tr w:rsidR="00DC41B4" w:rsidRPr="00595FDF" w:rsidTr="00BF3BBC">
        <w:tc>
          <w:tcPr>
            <w:tcW w:w="1843" w:type="dxa"/>
            <w:shd w:val="clear" w:color="auto" w:fill="31A3B5"/>
          </w:tcPr>
          <w:p w:rsidR="00DC41B4" w:rsidRPr="00595FDF" w:rsidRDefault="00DC41B4" w:rsidP="003643A5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DC41B4" w:rsidRPr="00595FDF" w:rsidRDefault="00DC41B4" w:rsidP="003643A5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 xml:space="preserve">Laajuus </w:t>
            </w:r>
          </w:p>
        </w:tc>
        <w:tc>
          <w:tcPr>
            <w:tcW w:w="7229" w:type="dxa"/>
            <w:shd w:val="clear" w:color="auto" w:fill="31A3B5"/>
          </w:tcPr>
          <w:p w:rsidR="00DC41B4" w:rsidRPr="00595FDF" w:rsidRDefault="00DC41B4" w:rsidP="003643A5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>Luonnehdinta opinnoista lyhyesti</w:t>
            </w:r>
          </w:p>
        </w:tc>
      </w:tr>
      <w:tr w:rsidR="00DC41B4" w:rsidRPr="00595FDF" w:rsidTr="00BF3BBC">
        <w:tc>
          <w:tcPr>
            <w:tcW w:w="1843" w:type="dxa"/>
          </w:tcPr>
          <w:p w:rsidR="00DC41B4" w:rsidRPr="00595FDF" w:rsidRDefault="00DC41B4" w:rsidP="003643A5">
            <w:pPr>
              <w:spacing w:before="24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 xml:space="preserve">Perusopinnot  </w:t>
            </w:r>
            <w:r w:rsidRPr="00595FDF"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DC41B4" w:rsidRPr="00595FDF" w:rsidRDefault="002D01ED" w:rsidP="003643A5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50</w:t>
            </w:r>
            <w:r w:rsidR="007E0024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7229" w:type="dxa"/>
          </w:tcPr>
          <w:p w:rsidR="00DC41B4" w:rsidRPr="00595FDF" w:rsidRDefault="00E13A98" w:rsidP="003643A5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Sähkötekniikan</w:t>
            </w:r>
            <w:r w:rsidR="007E0024">
              <w:rPr>
                <w:rFonts w:cs="Calibri"/>
                <w:szCs w:val="20"/>
              </w:rPr>
              <w:t xml:space="preserve"> perusopinnot sisältävät viestinnän, kielten, matematiikan, fysiikan, kemian ja sähkötekniikan perusteiden opintojaksoja. Nämä opint</w:t>
            </w:r>
            <w:r w:rsidR="007E0024">
              <w:rPr>
                <w:rFonts w:cs="Calibri"/>
                <w:szCs w:val="20"/>
              </w:rPr>
              <w:t>o</w:t>
            </w:r>
            <w:r w:rsidR="007E0024">
              <w:rPr>
                <w:rFonts w:cs="Calibri"/>
                <w:szCs w:val="20"/>
              </w:rPr>
              <w:t>jaksot rakentavat pedagogisen pohjan ammattiopinnoille.</w:t>
            </w:r>
          </w:p>
        </w:tc>
      </w:tr>
      <w:tr w:rsidR="00DC41B4" w:rsidRPr="00595FDF" w:rsidTr="00BF3BBC">
        <w:tc>
          <w:tcPr>
            <w:tcW w:w="1843" w:type="dxa"/>
          </w:tcPr>
          <w:p w:rsidR="00DC41B4" w:rsidRPr="00595FDF" w:rsidRDefault="00DC41B4" w:rsidP="003643A5">
            <w:pPr>
              <w:spacing w:before="24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7E0024" w:rsidRDefault="007E0024" w:rsidP="003643A5">
            <w:pPr>
              <w:rPr>
                <w:rFonts w:cs="Calibri"/>
                <w:szCs w:val="20"/>
              </w:rPr>
            </w:pPr>
          </w:p>
          <w:p w:rsidR="007E0024" w:rsidRPr="00595FDF" w:rsidRDefault="002D01ED" w:rsidP="003643A5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130</w:t>
            </w:r>
            <w:r w:rsidR="007E0024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7229" w:type="dxa"/>
          </w:tcPr>
          <w:p w:rsidR="00DC41B4" w:rsidRPr="007E0024" w:rsidRDefault="007E0024" w:rsidP="003643A5">
            <w:pPr>
              <w:spacing w:before="240"/>
              <w:rPr>
                <w:rFonts w:cs="Calibri"/>
              </w:rPr>
            </w:pPr>
            <w:r w:rsidRPr="007E0024">
              <w:rPr>
                <w:rFonts w:cs="Calibri"/>
              </w:rPr>
              <w:t>Ammatilliset opinnot</w:t>
            </w:r>
            <w:r>
              <w:rPr>
                <w:rFonts w:cs="Calibri"/>
              </w:rPr>
              <w:t xml:space="preserve"> sisältävät </w:t>
            </w:r>
            <w:r w:rsidRPr="007E0024">
              <w:rPr>
                <w:rFonts w:cs="Calibri"/>
                <w:color w:val="000000"/>
              </w:rPr>
              <w:t>monipuo</w:t>
            </w:r>
            <w:r w:rsidRPr="007E0024">
              <w:rPr>
                <w:rFonts w:cs="Calibri"/>
                <w:color w:val="000000"/>
              </w:rPr>
              <w:softHyphen/>
              <w:t>lisesti sähkötekniikan eri osa-alueisiin, sähköv</w:t>
            </w:r>
            <w:r w:rsidR="00E13A98">
              <w:rPr>
                <w:rFonts w:cs="Calibri"/>
                <w:color w:val="000000"/>
              </w:rPr>
              <w:t>oimatekniikkaan, laiteläheiseen tietotekniikkaan</w:t>
            </w:r>
            <w:r w:rsidRPr="007E0024">
              <w:rPr>
                <w:rFonts w:cs="Calibri"/>
                <w:color w:val="000000"/>
              </w:rPr>
              <w:t xml:space="preserve"> ja alan a</w:t>
            </w:r>
            <w:r w:rsidRPr="007E0024">
              <w:rPr>
                <w:rFonts w:cs="Calibri"/>
                <w:color w:val="000000"/>
              </w:rPr>
              <w:t>u</w:t>
            </w:r>
            <w:r w:rsidRPr="007E0024">
              <w:rPr>
                <w:rFonts w:cs="Calibri"/>
                <w:color w:val="000000"/>
              </w:rPr>
              <w:t>tomaatio</w:t>
            </w:r>
            <w:r w:rsidRPr="007E0024">
              <w:rPr>
                <w:rFonts w:cs="Calibri"/>
                <w:color w:val="000000"/>
              </w:rPr>
              <w:softHyphen/>
              <w:t>sovelluksiin</w:t>
            </w:r>
            <w:r>
              <w:rPr>
                <w:rFonts w:cs="Calibri"/>
                <w:color w:val="000000"/>
              </w:rPr>
              <w:t xml:space="preserve"> liittyviä opintojaksoja, jotka ovat soveltavan ammatti-identiteetin vuoksi tärkeitä ja joiden pedagogisena tavoitteena on sähköte</w:t>
            </w:r>
            <w:r>
              <w:rPr>
                <w:rFonts w:cs="Calibri"/>
                <w:color w:val="000000"/>
              </w:rPr>
              <w:t>k</w:t>
            </w:r>
            <w:r>
              <w:rPr>
                <w:rFonts w:cs="Calibri"/>
                <w:color w:val="000000"/>
              </w:rPr>
              <w:t>niikan osaamisen syventäminen</w:t>
            </w:r>
            <w:r w:rsidRPr="007E0024">
              <w:rPr>
                <w:rFonts w:cs="Calibri"/>
                <w:color w:val="000000"/>
              </w:rPr>
              <w:t>. Opiskelussa keskitytään erityisesti alan te</w:t>
            </w:r>
            <w:r w:rsidRPr="007E0024">
              <w:rPr>
                <w:rFonts w:cs="Calibri"/>
                <w:color w:val="000000"/>
              </w:rPr>
              <w:t>k</w:t>
            </w:r>
            <w:r w:rsidRPr="007E0024">
              <w:rPr>
                <w:rFonts w:cs="Calibri"/>
                <w:color w:val="000000"/>
              </w:rPr>
              <w:t>niikoiden käytännön soveltamiseen erilai</w:t>
            </w:r>
            <w:r w:rsidRPr="007E0024">
              <w:rPr>
                <w:rFonts w:cs="Calibri"/>
                <w:color w:val="000000"/>
              </w:rPr>
              <w:softHyphen/>
              <w:t>sissa sähköisen talotekniikan, sä</w:t>
            </w:r>
            <w:r w:rsidRPr="007E0024">
              <w:rPr>
                <w:rFonts w:cs="Calibri"/>
                <w:color w:val="000000"/>
              </w:rPr>
              <w:t>h</w:t>
            </w:r>
            <w:r w:rsidRPr="007E0024">
              <w:rPr>
                <w:rFonts w:cs="Calibri"/>
                <w:color w:val="000000"/>
              </w:rPr>
              <w:t>kön</w:t>
            </w:r>
            <w:r w:rsidR="00E13A98">
              <w:rPr>
                <w:rFonts w:cs="Calibri"/>
                <w:color w:val="000000"/>
              </w:rPr>
              <w:t xml:space="preserve">jakelun, </w:t>
            </w:r>
            <w:r w:rsidRPr="007E0024">
              <w:rPr>
                <w:rFonts w:cs="Calibri"/>
                <w:color w:val="000000"/>
              </w:rPr>
              <w:t>sähkökäyttöjen, tehoelektroniikan s</w:t>
            </w:r>
            <w:r w:rsidR="00E13A98">
              <w:rPr>
                <w:rFonts w:cs="Calibri"/>
                <w:color w:val="000000"/>
              </w:rPr>
              <w:t>ekä laiteläheisen tietotekni</w:t>
            </w:r>
            <w:r w:rsidR="00E13A98">
              <w:rPr>
                <w:rFonts w:cs="Calibri"/>
                <w:color w:val="000000"/>
              </w:rPr>
              <w:t>i</w:t>
            </w:r>
            <w:r w:rsidR="00E13A98">
              <w:rPr>
                <w:rFonts w:cs="Calibri"/>
                <w:color w:val="000000"/>
              </w:rPr>
              <w:t>kan</w:t>
            </w:r>
            <w:r w:rsidRPr="007E0024">
              <w:rPr>
                <w:rFonts w:cs="Calibri"/>
                <w:color w:val="000000"/>
              </w:rPr>
              <w:t xml:space="preserve"> sovelluksissa.</w:t>
            </w:r>
          </w:p>
          <w:p w:rsidR="00DC41B4" w:rsidRPr="007E0024" w:rsidRDefault="00DC41B4" w:rsidP="003643A5">
            <w:pPr>
              <w:rPr>
                <w:rFonts w:cs="Calibri"/>
              </w:rPr>
            </w:pPr>
          </w:p>
        </w:tc>
      </w:tr>
      <w:tr w:rsidR="00DC41B4" w:rsidRPr="00595FDF" w:rsidTr="00BF3BBC">
        <w:tc>
          <w:tcPr>
            <w:tcW w:w="1843" w:type="dxa"/>
          </w:tcPr>
          <w:p w:rsidR="00DC41B4" w:rsidRPr="00595FDF" w:rsidRDefault="00DC41B4" w:rsidP="003643A5">
            <w:pPr>
              <w:spacing w:before="24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Harjoittelu</w:t>
            </w:r>
          </w:p>
        </w:tc>
        <w:tc>
          <w:tcPr>
            <w:tcW w:w="1134" w:type="dxa"/>
          </w:tcPr>
          <w:p w:rsidR="00DC41B4" w:rsidRDefault="00DC41B4" w:rsidP="003643A5">
            <w:pPr>
              <w:rPr>
                <w:rFonts w:cs="Calibri"/>
                <w:szCs w:val="20"/>
              </w:rPr>
            </w:pPr>
          </w:p>
          <w:p w:rsidR="007E0024" w:rsidRPr="00595FDF" w:rsidRDefault="007E0024" w:rsidP="003643A5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30 op</w:t>
            </w:r>
          </w:p>
        </w:tc>
        <w:tc>
          <w:tcPr>
            <w:tcW w:w="7229" w:type="dxa"/>
          </w:tcPr>
          <w:p w:rsidR="00DC41B4" w:rsidRPr="00D02846" w:rsidRDefault="00DC41B4" w:rsidP="003643A5">
            <w:pPr>
              <w:autoSpaceDE w:val="0"/>
              <w:autoSpaceDN w:val="0"/>
              <w:spacing w:before="240"/>
              <w:rPr>
                <w:rFonts w:cs="Calibri"/>
                <w:iCs/>
              </w:rPr>
            </w:pPr>
            <w:r w:rsidRPr="00D02846">
              <w:rPr>
                <w:rFonts w:cs="Calibri"/>
                <w:iCs/>
                <w:szCs w:val="20"/>
              </w:rPr>
              <w:t>Harjoittelussa opiskelija perehtyy käytännön työtoimintaan ja hankkii va</w:t>
            </w:r>
            <w:r w:rsidRPr="00D02846">
              <w:rPr>
                <w:rFonts w:cs="Calibri"/>
                <w:iCs/>
                <w:szCs w:val="20"/>
              </w:rPr>
              <w:t>l</w:t>
            </w:r>
            <w:r w:rsidRPr="00D02846">
              <w:rPr>
                <w:rFonts w:cs="Calibri"/>
                <w:iCs/>
                <w:szCs w:val="20"/>
              </w:rPr>
              <w:t>miuksia erilaisten toimintatapojen ja työmenetelmien valintaan, käyttöön ja soveltamiseen.  Harjoittelussa opitaan myös kehittämään asiakas- ja työel</w:t>
            </w:r>
            <w:r w:rsidRPr="00D02846">
              <w:rPr>
                <w:rFonts w:cs="Calibri"/>
                <w:iCs/>
                <w:szCs w:val="20"/>
              </w:rPr>
              <w:t>ä</w:t>
            </w:r>
            <w:r w:rsidRPr="00D02846">
              <w:rPr>
                <w:rFonts w:cs="Calibri"/>
                <w:iCs/>
                <w:szCs w:val="20"/>
              </w:rPr>
              <w:t>mälähtöisesti uusia ratkaisuja ja toiminnan laatua.  Harjoittelu valmentaa ty</w:t>
            </w:r>
            <w:r w:rsidRPr="00D02846">
              <w:rPr>
                <w:rFonts w:cs="Calibri"/>
                <w:iCs/>
                <w:szCs w:val="20"/>
              </w:rPr>
              <w:t>ö</w:t>
            </w:r>
            <w:r w:rsidRPr="00D02846">
              <w:rPr>
                <w:rFonts w:cs="Calibri"/>
                <w:iCs/>
                <w:szCs w:val="20"/>
              </w:rPr>
              <w:t>elämän vaatimuksiin ammatillista osaamista syventämällä sekä auttaa työlli</w:t>
            </w:r>
            <w:r w:rsidRPr="00D02846">
              <w:rPr>
                <w:rFonts w:cs="Calibri"/>
                <w:iCs/>
                <w:szCs w:val="20"/>
              </w:rPr>
              <w:t>s</w:t>
            </w:r>
            <w:r w:rsidRPr="00D02846">
              <w:rPr>
                <w:rFonts w:cs="Calibri"/>
                <w:iCs/>
                <w:szCs w:val="20"/>
              </w:rPr>
              <w:t xml:space="preserve">tymään koulutusalaa ja suuntautumista vastaaviin tehtäviin. </w:t>
            </w:r>
          </w:p>
        </w:tc>
      </w:tr>
      <w:tr w:rsidR="00DC41B4" w:rsidRPr="00595FDF" w:rsidTr="00BF3BBC">
        <w:tc>
          <w:tcPr>
            <w:tcW w:w="1843" w:type="dxa"/>
          </w:tcPr>
          <w:p w:rsidR="00DC41B4" w:rsidRPr="00595FDF" w:rsidRDefault="00DC41B4" w:rsidP="003643A5">
            <w:pPr>
              <w:spacing w:before="24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Opinnäytetyö</w:t>
            </w:r>
          </w:p>
          <w:p w:rsidR="00DC41B4" w:rsidRPr="00595FDF" w:rsidRDefault="00DC41B4" w:rsidP="003643A5">
            <w:pPr>
              <w:spacing w:before="240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DC41B4" w:rsidRPr="00595FDF" w:rsidRDefault="00DC41B4" w:rsidP="003643A5">
            <w:pPr>
              <w:spacing w:before="240"/>
              <w:rPr>
                <w:rFonts w:cs="Calibri"/>
                <w:szCs w:val="20"/>
              </w:rPr>
            </w:pPr>
            <w:r w:rsidRPr="00595FDF">
              <w:rPr>
                <w:rFonts w:cs="Calibri"/>
                <w:szCs w:val="20"/>
              </w:rPr>
              <w:t>15 op</w:t>
            </w:r>
          </w:p>
        </w:tc>
        <w:tc>
          <w:tcPr>
            <w:tcW w:w="7229" w:type="dxa"/>
          </w:tcPr>
          <w:p w:rsidR="00DC41B4" w:rsidRPr="00D02846" w:rsidRDefault="00DC41B4" w:rsidP="003643A5">
            <w:pPr>
              <w:spacing w:before="240"/>
            </w:pPr>
            <w:r w:rsidRPr="00D02846">
              <w:t>Opinnäytetyö on opiskelijan työelämäläheinen oppimisprosessi, jota asiantu</w:t>
            </w:r>
            <w:r w:rsidRPr="00D02846">
              <w:t>n</w:t>
            </w:r>
            <w:r w:rsidRPr="00D02846">
              <w:t>tijat tukevat, ohjaavat ja arvioivat. Tavoitteena on, että opiskelija kehittää työelämää opinnäytetyöllään samalla kun p</w:t>
            </w:r>
            <w:r w:rsidR="005647CF">
              <w:t>rosessi syventää h</w:t>
            </w:r>
            <w:r w:rsidR="005647CF">
              <w:t>ä</w:t>
            </w:r>
            <w:r w:rsidR="005647CF">
              <w:t>nen </w:t>
            </w:r>
            <w:r w:rsidRPr="00D02846">
              <w:t>asiantuntijuuttaan valitussa aiheessa.  Opinnäytetyöt voivat olla tutk</w:t>
            </w:r>
            <w:r w:rsidRPr="00D02846">
              <w:t>i</w:t>
            </w:r>
            <w:r w:rsidRPr="00D02846">
              <w:t>muksellisia, toiminnallisia tai subjektiivista luovaa ilmaisua. Opinnäytetyön tekemisessä opiskelija vastaa</w:t>
            </w:r>
          </w:p>
          <w:p w:rsidR="00DC41B4" w:rsidRPr="00D02846" w:rsidRDefault="00DC41B4" w:rsidP="005647CF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D02846">
              <w:t>opinnäytetyöidean ja työelämäyhteyden hakemisesta</w:t>
            </w:r>
          </w:p>
          <w:p w:rsidR="00DC41B4" w:rsidRPr="00D02846" w:rsidRDefault="00DC41B4" w:rsidP="005647CF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D02846">
              <w:t>opinnäytetyön tehtäväalueeseen perehtymisestä ja tehtävän asettamise</w:t>
            </w:r>
            <w:r w:rsidRPr="00D02846">
              <w:t>s</w:t>
            </w:r>
            <w:r w:rsidRPr="00D02846">
              <w:t>ta</w:t>
            </w:r>
          </w:p>
          <w:p w:rsidR="00DC41B4" w:rsidRPr="00D02846" w:rsidRDefault="00DC41B4" w:rsidP="005647CF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D02846">
              <w:t>asetetun tehtävän suorittamisesta ja raportoinnista</w:t>
            </w:r>
          </w:p>
          <w:p w:rsidR="00DC41B4" w:rsidRPr="00D02846" w:rsidRDefault="00DC41B4" w:rsidP="005647CF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D02846">
              <w:t>opinnäytetyön viimeistelystä ja tiedotusmateriaalin laatimisesta.</w:t>
            </w:r>
          </w:p>
          <w:p w:rsidR="00DC41B4" w:rsidRPr="00D02846" w:rsidRDefault="00DC41B4" w:rsidP="003643A5">
            <w:r w:rsidRPr="00D02846">
              <w:t>Opinnäytetyö tarjoaa joustavan portin siirtyä työelämään ja hyvän mahdoll</w:t>
            </w:r>
            <w:r w:rsidRPr="00D02846">
              <w:t>i</w:t>
            </w:r>
            <w:r w:rsidRPr="00D02846">
              <w:lastRenderedPageBreak/>
              <w:t>suuden verkottua omalla alalla.</w:t>
            </w:r>
          </w:p>
        </w:tc>
      </w:tr>
      <w:tr w:rsidR="00DC41B4" w:rsidRPr="00595FDF" w:rsidTr="00BF3BBC">
        <w:tc>
          <w:tcPr>
            <w:tcW w:w="1843" w:type="dxa"/>
          </w:tcPr>
          <w:p w:rsidR="00DC41B4" w:rsidRPr="00595FDF" w:rsidRDefault="00E13A98" w:rsidP="003643A5">
            <w:pPr>
              <w:spacing w:before="24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lastRenderedPageBreak/>
              <w:t>Valinnainen opi</w:t>
            </w:r>
            <w:r>
              <w:rPr>
                <w:rFonts w:cs="Calibri"/>
                <w:b/>
                <w:szCs w:val="20"/>
              </w:rPr>
              <w:t>n</w:t>
            </w:r>
            <w:r>
              <w:rPr>
                <w:rFonts w:cs="Calibri"/>
                <w:b/>
                <w:szCs w:val="20"/>
              </w:rPr>
              <w:t>tokokonaisuus</w:t>
            </w:r>
          </w:p>
          <w:p w:rsidR="00DC41B4" w:rsidRPr="00595FDF" w:rsidRDefault="00DC41B4" w:rsidP="003643A5">
            <w:pPr>
              <w:spacing w:before="240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DC41B4" w:rsidRPr="00595FDF" w:rsidRDefault="00DC41B4" w:rsidP="003643A5">
            <w:pPr>
              <w:spacing w:before="240"/>
              <w:rPr>
                <w:rFonts w:cs="Calibri"/>
                <w:szCs w:val="20"/>
              </w:rPr>
            </w:pPr>
            <w:r w:rsidRPr="00595FDF">
              <w:rPr>
                <w:rFonts w:cs="Calibri"/>
                <w:szCs w:val="20"/>
              </w:rPr>
              <w:t>15 op</w:t>
            </w:r>
          </w:p>
        </w:tc>
        <w:tc>
          <w:tcPr>
            <w:tcW w:w="7229" w:type="dxa"/>
          </w:tcPr>
          <w:p w:rsidR="00DC41B4" w:rsidRPr="00D02846" w:rsidRDefault="00E13A98" w:rsidP="003643A5">
            <w:pPr>
              <w:spacing w:before="240"/>
              <w:rPr>
                <w:rFonts w:cs="Calibri"/>
                <w:szCs w:val="20"/>
              </w:rPr>
            </w:pPr>
            <w:r w:rsidRPr="00D02846">
              <w:rPr>
                <w:rFonts w:cs="Calibri"/>
                <w:szCs w:val="20"/>
              </w:rPr>
              <w:t>Valinnaiset</w:t>
            </w:r>
            <w:r w:rsidR="00DC41B4" w:rsidRPr="00D02846">
              <w:rPr>
                <w:rFonts w:cs="Calibri"/>
                <w:szCs w:val="20"/>
              </w:rPr>
              <w:t xml:space="preserve"> opinnot tukevat asiantuntijuuden kehittymistä ja suuntautuvat opiskelijan kiinnostuksen mukaan. </w:t>
            </w:r>
            <w:proofErr w:type="spellStart"/>
            <w:r w:rsidR="00DC41B4" w:rsidRPr="00D02846">
              <w:rPr>
                <w:rFonts w:cs="Calibri"/>
                <w:szCs w:val="20"/>
              </w:rPr>
              <w:t>Savonian</w:t>
            </w:r>
            <w:proofErr w:type="spellEnd"/>
            <w:r w:rsidR="00DC41B4" w:rsidRPr="00D02846">
              <w:rPr>
                <w:rFonts w:cs="Calibri"/>
                <w:szCs w:val="20"/>
              </w:rPr>
              <w:t xml:space="preserve"> opintotarjonta on käytettävissä. Muualta valittavien opintojen on oltava ammattikorkeakoulutasoa.</w:t>
            </w:r>
          </w:p>
        </w:tc>
      </w:tr>
      <w:tr w:rsidR="00DC41B4" w:rsidRPr="00595FDF" w:rsidTr="00BF3BBC">
        <w:tc>
          <w:tcPr>
            <w:tcW w:w="1843" w:type="dxa"/>
          </w:tcPr>
          <w:p w:rsidR="00DC41B4" w:rsidRPr="00595FDF" w:rsidRDefault="00DC41B4" w:rsidP="003643A5">
            <w:pPr>
              <w:spacing w:before="24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DC41B4" w:rsidRPr="00595FDF" w:rsidRDefault="007E0024" w:rsidP="003643A5">
            <w:pPr>
              <w:spacing w:before="2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24</w:t>
            </w:r>
            <w:r w:rsidR="00DC41B4" w:rsidRPr="00595FDF">
              <w:rPr>
                <w:rFonts w:cs="Calibri"/>
                <w:szCs w:val="20"/>
              </w:rPr>
              <w:t>0 op</w:t>
            </w:r>
          </w:p>
        </w:tc>
        <w:tc>
          <w:tcPr>
            <w:tcW w:w="7229" w:type="dxa"/>
          </w:tcPr>
          <w:p w:rsidR="00DC41B4" w:rsidRPr="00595FDF" w:rsidRDefault="00DC41B4" w:rsidP="003643A5">
            <w:pPr>
              <w:spacing w:before="240"/>
              <w:rPr>
                <w:rFonts w:cs="Calibri"/>
                <w:szCs w:val="20"/>
              </w:rPr>
            </w:pPr>
          </w:p>
        </w:tc>
      </w:tr>
    </w:tbl>
    <w:p w:rsidR="007E0024" w:rsidRDefault="007E0024" w:rsidP="008346EB">
      <w:pPr>
        <w:rPr>
          <w:snapToGrid w:val="0"/>
        </w:rPr>
      </w:pPr>
    </w:p>
    <w:p w:rsidR="005647CF" w:rsidRDefault="005647CF" w:rsidP="008346EB">
      <w:pPr>
        <w:rPr>
          <w:snapToGrid w:val="0"/>
        </w:rPr>
      </w:pPr>
    </w:p>
    <w:p w:rsidR="005647CF" w:rsidRPr="005647CF" w:rsidRDefault="005647CF" w:rsidP="005647CF"/>
    <w:sectPr w:rsidR="005647CF" w:rsidRPr="005647CF" w:rsidSect="008D48FF">
      <w:footerReference w:type="default" r:id="rId9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31" w:rsidRDefault="00563731" w:rsidP="00E0604F">
      <w:pPr>
        <w:spacing w:after="0" w:line="240" w:lineRule="auto"/>
      </w:pPr>
      <w:r>
        <w:separator/>
      </w:r>
    </w:p>
  </w:endnote>
  <w:endnote w:type="continuationSeparator" w:id="0">
    <w:p w:rsidR="00563731" w:rsidRDefault="00563731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CE" w:rsidRDefault="002702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28B">
      <w:rPr>
        <w:noProof/>
      </w:rPr>
      <w:t>1</w:t>
    </w:r>
    <w:r>
      <w:rPr>
        <w:noProof/>
      </w:rPr>
      <w:fldChar w:fldCharType="end"/>
    </w:r>
  </w:p>
  <w:p w:rsidR="002702CE" w:rsidRDefault="00270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31" w:rsidRDefault="00563731" w:rsidP="00E0604F">
      <w:pPr>
        <w:spacing w:after="0" w:line="240" w:lineRule="auto"/>
      </w:pPr>
      <w:r>
        <w:separator/>
      </w:r>
    </w:p>
  </w:footnote>
  <w:footnote w:type="continuationSeparator" w:id="0">
    <w:p w:rsidR="00563731" w:rsidRDefault="00563731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A1D58"/>
    <w:multiLevelType w:val="hybridMultilevel"/>
    <w:tmpl w:val="D2E2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A4EEF"/>
    <w:multiLevelType w:val="multilevel"/>
    <w:tmpl w:val="D972A0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B2A0621"/>
    <w:multiLevelType w:val="hybridMultilevel"/>
    <w:tmpl w:val="8036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8A4145"/>
    <w:multiLevelType w:val="hybridMultilevel"/>
    <w:tmpl w:val="4F14096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87CA8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3D7ED1"/>
    <w:multiLevelType w:val="hybridMultilevel"/>
    <w:tmpl w:val="E1CCD138"/>
    <w:lvl w:ilvl="0" w:tplc="149C169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4E6FC2"/>
    <w:multiLevelType w:val="hybridMultilevel"/>
    <w:tmpl w:val="81A407A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C2B77"/>
    <w:multiLevelType w:val="hybridMultilevel"/>
    <w:tmpl w:val="73E697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F2FDE"/>
    <w:multiLevelType w:val="hybridMultilevel"/>
    <w:tmpl w:val="4E081036"/>
    <w:lvl w:ilvl="0" w:tplc="7430F5FC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>
    <w:nsid w:val="6EF50F49"/>
    <w:multiLevelType w:val="hybridMultilevel"/>
    <w:tmpl w:val="51BC2A58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430F5FC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1276BA"/>
    <w:multiLevelType w:val="hybridMultilevel"/>
    <w:tmpl w:val="024EC16E"/>
    <w:lvl w:ilvl="0" w:tplc="7430F5FC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4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04EC1"/>
    <w:multiLevelType w:val="hybridMultilevel"/>
    <w:tmpl w:val="D2E2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14"/>
  </w:num>
  <w:num w:numId="6">
    <w:abstractNumId w:val="11"/>
  </w:num>
  <w:num w:numId="7">
    <w:abstractNumId w:val="4"/>
  </w:num>
  <w:num w:numId="8">
    <w:abstractNumId w:val="12"/>
  </w:num>
  <w:num w:numId="9">
    <w:abstractNumId w:val="5"/>
  </w:num>
  <w:num w:numId="10">
    <w:abstractNumId w:val="6"/>
  </w:num>
  <w:num w:numId="11">
    <w:abstractNumId w:val="26"/>
  </w:num>
  <w:num w:numId="12">
    <w:abstractNumId w:val="3"/>
  </w:num>
  <w:num w:numId="13">
    <w:abstractNumId w:val="8"/>
  </w:num>
  <w:num w:numId="14">
    <w:abstractNumId w:val="13"/>
  </w:num>
  <w:num w:numId="15">
    <w:abstractNumId w:val="18"/>
  </w:num>
  <w:num w:numId="16">
    <w:abstractNumId w:val="22"/>
  </w:num>
  <w:num w:numId="17">
    <w:abstractNumId w:val="19"/>
  </w:num>
  <w:num w:numId="18">
    <w:abstractNumId w:val="1"/>
  </w:num>
  <w:num w:numId="19">
    <w:abstractNumId w:val="23"/>
  </w:num>
  <w:num w:numId="20">
    <w:abstractNumId w:val="21"/>
  </w:num>
  <w:num w:numId="21">
    <w:abstractNumId w:val="25"/>
  </w:num>
  <w:num w:numId="22">
    <w:abstractNumId w:val="7"/>
  </w:num>
  <w:num w:numId="23">
    <w:abstractNumId w:val="24"/>
  </w:num>
  <w:num w:numId="24">
    <w:abstractNumId w:val="27"/>
  </w:num>
  <w:num w:numId="25">
    <w:abstractNumId w:val="9"/>
  </w:num>
  <w:num w:numId="26">
    <w:abstractNumId w:val="20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7A"/>
    <w:rsid w:val="000474B9"/>
    <w:rsid w:val="000553D0"/>
    <w:rsid w:val="000E4681"/>
    <w:rsid w:val="000F04EC"/>
    <w:rsid w:val="001233F1"/>
    <w:rsid w:val="0014771A"/>
    <w:rsid w:val="001603E3"/>
    <w:rsid w:val="0016077A"/>
    <w:rsid w:val="00180FD2"/>
    <w:rsid w:val="00182F27"/>
    <w:rsid w:val="00191B8C"/>
    <w:rsid w:val="001B220E"/>
    <w:rsid w:val="001D46A1"/>
    <w:rsid w:val="001F4216"/>
    <w:rsid w:val="002702CE"/>
    <w:rsid w:val="00276F9E"/>
    <w:rsid w:val="002D01ED"/>
    <w:rsid w:val="002F5BF1"/>
    <w:rsid w:val="00315A05"/>
    <w:rsid w:val="00331298"/>
    <w:rsid w:val="00353406"/>
    <w:rsid w:val="00362623"/>
    <w:rsid w:val="003643A5"/>
    <w:rsid w:val="00372B16"/>
    <w:rsid w:val="00377E8F"/>
    <w:rsid w:val="003804F8"/>
    <w:rsid w:val="003A3846"/>
    <w:rsid w:val="003B6F21"/>
    <w:rsid w:val="003D2E30"/>
    <w:rsid w:val="003D4396"/>
    <w:rsid w:val="003F1F0A"/>
    <w:rsid w:val="003F718E"/>
    <w:rsid w:val="004534B3"/>
    <w:rsid w:val="00480E11"/>
    <w:rsid w:val="004A3231"/>
    <w:rsid w:val="004D30A0"/>
    <w:rsid w:val="0050469D"/>
    <w:rsid w:val="005254E1"/>
    <w:rsid w:val="005348AC"/>
    <w:rsid w:val="00563731"/>
    <w:rsid w:val="005647CF"/>
    <w:rsid w:val="005C170A"/>
    <w:rsid w:val="00615623"/>
    <w:rsid w:val="00615A95"/>
    <w:rsid w:val="00633CB3"/>
    <w:rsid w:val="00652180"/>
    <w:rsid w:val="00654452"/>
    <w:rsid w:val="006836B9"/>
    <w:rsid w:val="006A50CF"/>
    <w:rsid w:val="006E5A08"/>
    <w:rsid w:val="00761858"/>
    <w:rsid w:val="00774713"/>
    <w:rsid w:val="007C4330"/>
    <w:rsid w:val="007D1297"/>
    <w:rsid w:val="007E0024"/>
    <w:rsid w:val="007E600D"/>
    <w:rsid w:val="008147A6"/>
    <w:rsid w:val="00823A62"/>
    <w:rsid w:val="008346EB"/>
    <w:rsid w:val="00854C60"/>
    <w:rsid w:val="0085634C"/>
    <w:rsid w:val="00887A6A"/>
    <w:rsid w:val="008A1ED6"/>
    <w:rsid w:val="008D48FF"/>
    <w:rsid w:val="008E228B"/>
    <w:rsid w:val="008E5D99"/>
    <w:rsid w:val="009002A0"/>
    <w:rsid w:val="0093795B"/>
    <w:rsid w:val="009501B0"/>
    <w:rsid w:val="00964285"/>
    <w:rsid w:val="00981666"/>
    <w:rsid w:val="00996399"/>
    <w:rsid w:val="00997F8A"/>
    <w:rsid w:val="009A2461"/>
    <w:rsid w:val="009B1012"/>
    <w:rsid w:val="00A03600"/>
    <w:rsid w:val="00A321BD"/>
    <w:rsid w:val="00A55E27"/>
    <w:rsid w:val="00A71F00"/>
    <w:rsid w:val="00A72669"/>
    <w:rsid w:val="00AC0A69"/>
    <w:rsid w:val="00AC2F7E"/>
    <w:rsid w:val="00AC4A2D"/>
    <w:rsid w:val="00AE7AC1"/>
    <w:rsid w:val="00AF6BD9"/>
    <w:rsid w:val="00B10BA2"/>
    <w:rsid w:val="00B14848"/>
    <w:rsid w:val="00B14AEB"/>
    <w:rsid w:val="00B31AC6"/>
    <w:rsid w:val="00B44A9F"/>
    <w:rsid w:val="00B45A83"/>
    <w:rsid w:val="00B666A0"/>
    <w:rsid w:val="00B76D82"/>
    <w:rsid w:val="00B808D6"/>
    <w:rsid w:val="00B91A86"/>
    <w:rsid w:val="00BF3BBC"/>
    <w:rsid w:val="00BF68DC"/>
    <w:rsid w:val="00C00ECC"/>
    <w:rsid w:val="00C074C2"/>
    <w:rsid w:val="00C3232D"/>
    <w:rsid w:val="00C47EBA"/>
    <w:rsid w:val="00C52CDC"/>
    <w:rsid w:val="00C624F9"/>
    <w:rsid w:val="00C81BD9"/>
    <w:rsid w:val="00C97297"/>
    <w:rsid w:val="00C97CFC"/>
    <w:rsid w:val="00CB40C0"/>
    <w:rsid w:val="00CC37BE"/>
    <w:rsid w:val="00CC5550"/>
    <w:rsid w:val="00D02846"/>
    <w:rsid w:val="00D066AF"/>
    <w:rsid w:val="00D249B4"/>
    <w:rsid w:val="00D265A5"/>
    <w:rsid w:val="00D27122"/>
    <w:rsid w:val="00D53830"/>
    <w:rsid w:val="00D973E4"/>
    <w:rsid w:val="00DA32EC"/>
    <w:rsid w:val="00DA5AA1"/>
    <w:rsid w:val="00DC41B4"/>
    <w:rsid w:val="00DD7142"/>
    <w:rsid w:val="00DF1E4A"/>
    <w:rsid w:val="00E0604F"/>
    <w:rsid w:val="00E13A98"/>
    <w:rsid w:val="00E403AD"/>
    <w:rsid w:val="00E4740E"/>
    <w:rsid w:val="00E47F0E"/>
    <w:rsid w:val="00E532C7"/>
    <w:rsid w:val="00E548DC"/>
    <w:rsid w:val="00E550FE"/>
    <w:rsid w:val="00F25871"/>
    <w:rsid w:val="00F320B2"/>
    <w:rsid w:val="00F40BA4"/>
    <w:rsid w:val="00F606ED"/>
    <w:rsid w:val="00F615D3"/>
    <w:rsid w:val="00F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B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EB"/>
    <w:pPr>
      <w:keepNext/>
      <w:keepLines/>
      <w:pageBreakBefore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8346EB"/>
    <w:rPr>
      <w:rFonts w:eastAsia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paragraph" w:styleId="PlainText">
    <w:name w:val="Plain Text"/>
    <w:basedOn w:val="Normal"/>
    <w:link w:val="PlainTextChar"/>
    <w:uiPriority w:val="99"/>
    <w:unhideWhenUsed/>
    <w:rsid w:val="00B44A9F"/>
    <w:pPr>
      <w:spacing w:after="0" w:line="240" w:lineRule="auto"/>
    </w:pPr>
    <w:rPr>
      <w:rFonts w:ascii="Consolas" w:hAnsi="Consolas"/>
      <w:sz w:val="21"/>
      <w:szCs w:val="21"/>
      <w:lang w:eastAsia="fi-FI"/>
    </w:rPr>
  </w:style>
  <w:style w:type="character" w:customStyle="1" w:styleId="PlainTextChar">
    <w:name w:val="Plain Text Char"/>
    <w:link w:val="PlainText"/>
    <w:uiPriority w:val="99"/>
    <w:rsid w:val="00B44A9F"/>
    <w:rPr>
      <w:rFonts w:ascii="Consolas" w:hAnsi="Consolas"/>
      <w:sz w:val="21"/>
      <w:szCs w:val="21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B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EB"/>
    <w:pPr>
      <w:keepNext/>
      <w:keepLines/>
      <w:pageBreakBefore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8346EB"/>
    <w:rPr>
      <w:rFonts w:eastAsia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paragraph" w:styleId="PlainText">
    <w:name w:val="Plain Text"/>
    <w:basedOn w:val="Normal"/>
    <w:link w:val="PlainTextChar"/>
    <w:uiPriority w:val="99"/>
    <w:unhideWhenUsed/>
    <w:rsid w:val="00B44A9F"/>
    <w:pPr>
      <w:spacing w:after="0" w:line="240" w:lineRule="auto"/>
    </w:pPr>
    <w:rPr>
      <w:rFonts w:ascii="Consolas" w:hAnsi="Consolas"/>
      <w:sz w:val="21"/>
      <w:szCs w:val="21"/>
      <w:lang w:eastAsia="fi-FI"/>
    </w:rPr>
  </w:style>
  <w:style w:type="character" w:customStyle="1" w:styleId="PlainTextChar">
    <w:name w:val="Plain Text Char"/>
    <w:link w:val="PlainText"/>
    <w:uiPriority w:val="99"/>
    <w:rsid w:val="00B44A9F"/>
    <w:rPr>
      <w:rFonts w:ascii="Consolas" w:hAnsi="Consolas"/>
      <w:sz w:val="21"/>
      <w:szCs w:val="21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A49A-6655-4537-9B33-0567A46A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Kuntayhtymä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ka46919</dc:creator>
  <cp:lastModifiedBy>Marja-Riitta Kivi</cp:lastModifiedBy>
  <cp:revision>2</cp:revision>
  <dcterms:created xsi:type="dcterms:W3CDTF">2016-02-05T07:55:00Z</dcterms:created>
  <dcterms:modified xsi:type="dcterms:W3CDTF">2016-02-05T07:55:00Z</dcterms:modified>
</cp:coreProperties>
</file>