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2A407" w14:textId="5D687E71" w:rsidR="61205BC3" w:rsidRDefault="61205BC3" w:rsidP="45983B1C">
      <w:pPr>
        <w:spacing w:beforeAutospacing="1" w:afterAutospacing="1" w:line="240" w:lineRule="auto"/>
      </w:pPr>
      <w:r w:rsidRPr="00906322">
        <w:rPr>
          <w:rFonts w:ascii="Tahoma" w:eastAsia="Times New Roman" w:hAnsi="Tahoma" w:cs="Tahoma"/>
          <w:b/>
          <w:bCs/>
          <w:color w:val="000000" w:themeColor="text1"/>
          <w:sz w:val="24"/>
          <w:szCs w:val="24"/>
        </w:rPr>
        <w:t>Osaamistavoitteet</w:t>
      </w:r>
    </w:p>
    <w:p w14:paraId="5DB7B00D" w14:textId="749DEC12" w:rsidR="005B457C" w:rsidRPr="00906322" w:rsidRDefault="00BF64E6" w:rsidP="00906322">
      <w:pPr>
        <w:spacing w:line="360" w:lineRule="auto"/>
        <w:rPr>
          <w:rFonts w:ascii="Tahoma" w:eastAsia="Times New Roman" w:hAnsi="Tahoma" w:cs="Tahoma"/>
          <w:b/>
          <w:bCs/>
          <w:color w:val="000000" w:themeColor="text1"/>
          <w:sz w:val="24"/>
          <w:szCs w:val="24"/>
        </w:rPr>
      </w:pPr>
      <w:r>
        <w:rPr>
          <w:rFonts w:ascii="Tahoma" w:eastAsia="Tahoma" w:hAnsi="Tahoma" w:cs="Tahoma"/>
          <w:sz w:val="20"/>
          <w:szCs w:val="20"/>
        </w:rPr>
        <w:t>Sosionomin</w:t>
      </w:r>
      <w:r w:rsidR="45983B1C" w:rsidRPr="513A8252">
        <w:rPr>
          <w:rFonts w:ascii="Tahoma" w:eastAsia="Tahoma" w:hAnsi="Tahoma" w:cs="Tahoma"/>
          <w:sz w:val="20"/>
          <w:szCs w:val="20"/>
        </w:rPr>
        <w:t xml:space="preserve"> koulutus on eurooppalaista ja suomalaista tasoa 6 (</w:t>
      </w:r>
      <w:hyperlink r:id="rId8">
        <w:r w:rsidR="45983B1C" w:rsidRPr="513A8252">
          <w:rPr>
            <w:rStyle w:val="Hyperlinkki"/>
            <w:rFonts w:ascii="Tahoma" w:eastAsia="Tahoma" w:hAnsi="Tahoma" w:cs="Tahoma"/>
            <w:sz w:val="20"/>
            <w:szCs w:val="20"/>
          </w:rPr>
          <w:t>Kansallinen viitekehys</w:t>
        </w:r>
      </w:hyperlink>
      <w:r w:rsidR="45983B1C"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31548B47"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24533679"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0DF731B" w14:textId="0CA2C93E" w:rsidR="513A8252" w:rsidRDefault="00BF64E6" w:rsidP="513A8252">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Sosionomin</w:t>
      </w:r>
      <w:r w:rsidR="513A8252"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0" w:type="auto"/>
        <w:tblInd w:w="105" w:type="dxa"/>
        <w:tblLayout w:type="fixed"/>
        <w:tblLook w:val="01E0" w:firstRow="1" w:lastRow="1" w:firstColumn="1" w:lastColumn="1" w:noHBand="0" w:noVBand="0"/>
      </w:tblPr>
      <w:tblGrid>
        <w:gridCol w:w="2940"/>
        <w:gridCol w:w="6420"/>
      </w:tblGrid>
      <w:tr w:rsidR="61205BC3" w14:paraId="445EFE2C" w14:textId="77777777" w:rsidTr="00F96DBC">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F96DBC">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Default="61205BC3">
                  <w:r w:rsidRPr="61205BC3">
                    <w:rPr>
                      <w:rFonts w:cs="Calibri"/>
                      <w:b/>
                      <w:bCs/>
                      <w:color w:val="000000" w:themeColor="text1"/>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F96DBC">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61205BC3" w14:paraId="4F13D838" w14:textId="77777777" w:rsidTr="009C4B1F">
        <w:trPr>
          <w:trHeight w:val="1115"/>
        </w:trPr>
        <w:tc>
          <w:tcPr>
            <w:tcW w:w="2940" w:type="dxa"/>
            <w:tcBorders>
              <w:top w:val="single" w:sz="8" w:space="0" w:color="auto"/>
              <w:left w:val="single" w:sz="8" w:space="0" w:color="auto"/>
              <w:bottom w:val="single" w:sz="8" w:space="0" w:color="auto"/>
              <w:right w:val="single" w:sz="8" w:space="0" w:color="auto"/>
            </w:tcBorders>
          </w:tcPr>
          <w:p w14:paraId="60826545" w14:textId="3DC29899"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7B73877A" w14:textId="43CF356C"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20E74D29" w14:textId="6E23E9C5"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4991CA7C" w14:textId="7FAB1A67"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7A58A7D9" w14:textId="417E326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344F27D1" w14:textId="6AC9ACCA"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5D0C3A80" w14:textId="04E4473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lastRenderedPageBreak/>
              <w:t>kykenee eettisiin arvoihin perustuvaan yhteiskunnalliseen vaikuttamiseen.</w:t>
            </w:r>
          </w:p>
        </w:tc>
      </w:tr>
      <w:tr w:rsidR="61205BC3" w14:paraId="2228B1AD" w14:textId="77777777" w:rsidTr="00F96DBC">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61205BC3" w:rsidRDefault="61205BC3" w:rsidP="00F96DBC">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61205BC3" w:rsidRDefault="61205BC3" w:rsidP="61205BC3">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61205BC3" w14:paraId="2F9C2085" w14:textId="77777777" w:rsidTr="00F96DBC">
        <w:tc>
          <w:tcPr>
            <w:tcW w:w="2940" w:type="dxa"/>
            <w:tcBorders>
              <w:top w:val="single" w:sz="8" w:space="0" w:color="auto"/>
              <w:left w:val="single" w:sz="8" w:space="0" w:color="auto"/>
              <w:bottom w:val="single" w:sz="8" w:space="0" w:color="auto"/>
              <w:right w:val="single" w:sz="8" w:space="0" w:color="auto"/>
            </w:tcBorders>
          </w:tcPr>
          <w:p w14:paraId="1216097D" w14:textId="2B34656C" w:rsidR="61205BC3" w:rsidRDefault="61205BC3" w:rsidP="61205BC3">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61205BC3" w:rsidRDefault="61205BC3" w:rsidP="61205BC3">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sidR="00906322">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61205BC3" w:rsidRDefault="61205BC3" w:rsidP="61205BC3">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61205BC3" w14:paraId="6EC0F8D6" w14:textId="77777777" w:rsidTr="00F96DBC">
        <w:tc>
          <w:tcPr>
            <w:tcW w:w="2940" w:type="dxa"/>
            <w:tcBorders>
              <w:top w:val="single" w:sz="8" w:space="0" w:color="auto"/>
              <w:left w:val="single" w:sz="8" w:space="0" w:color="auto"/>
              <w:bottom w:val="single" w:sz="8" w:space="0" w:color="auto"/>
              <w:right w:val="single" w:sz="8" w:space="0" w:color="auto"/>
            </w:tcBorders>
          </w:tcPr>
          <w:p w14:paraId="267BDB28" w14:textId="4AE0FBE5" w:rsidR="61205BC3" w:rsidRDefault="61205BC3" w:rsidP="61205BC3">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77515B05" w:rsidR="00BF64E6"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071DC4FB" w14:textId="77777777" w:rsidR="00BF64E6" w:rsidRDefault="00BF64E6">
      <w:pPr>
        <w:spacing w:after="160" w:line="259" w:lineRule="auto"/>
        <w:rPr>
          <w:rFonts w:cs="Calibri"/>
          <w:b/>
          <w:bCs/>
          <w:color w:val="FF0000"/>
          <w:sz w:val="24"/>
          <w:szCs w:val="24"/>
          <w:lang w:val="fi"/>
        </w:rPr>
      </w:pPr>
      <w:r>
        <w:rPr>
          <w:rFonts w:cs="Calibri"/>
          <w:b/>
          <w:bCs/>
          <w:color w:val="FF0000"/>
          <w:sz w:val="24"/>
          <w:szCs w:val="24"/>
          <w:lang w:val="fi"/>
        </w:rPr>
        <w:br w:type="page"/>
      </w:r>
    </w:p>
    <w:tbl>
      <w:tblPr>
        <w:tblStyle w:val="TaulukkoRuudukko"/>
        <w:tblW w:w="0" w:type="auto"/>
        <w:tblLook w:val="04A0" w:firstRow="1" w:lastRow="0" w:firstColumn="1" w:lastColumn="0" w:noHBand="0" w:noVBand="1"/>
      </w:tblPr>
      <w:tblGrid>
        <w:gridCol w:w="3401"/>
        <w:gridCol w:w="5949"/>
      </w:tblGrid>
      <w:tr w:rsidR="009C4B1F" w14:paraId="0520C3C9" w14:textId="77777777" w:rsidTr="009C4B1F">
        <w:trPr>
          <w:trHeight w:val="830"/>
        </w:trPr>
        <w:tc>
          <w:tcPr>
            <w:tcW w:w="3401" w:type="dxa"/>
            <w:shd w:val="clear" w:color="auto" w:fill="31A3B5"/>
          </w:tcPr>
          <w:p w14:paraId="476C3D8E" w14:textId="4A8BD954" w:rsidR="009C4B1F" w:rsidRPr="00707DD7" w:rsidRDefault="00BE08D7" w:rsidP="009E7FE2">
            <w:pPr>
              <w:rPr>
                <w:rFonts w:ascii="Tahoma" w:hAnsi="Tahoma" w:cs="Tahoma"/>
                <w:b/>
                <w:bCs/>
                <w:color w:val="FFFFFF" w:themeColor="background1"/>
                <w:sz w:val="20"/>
                <w:szCs w:val="20"/>
              </w:rPr>
            </w:pPr>
            <w:r>
              <w:rPr>
                <w:rFonts w:ascii="Tahoma" w:hAnsi="Tahoma" w:cs="Tahoma"/>
                <w:b/>
                <w:bCs/>
                <w:color w:val="FFFFFF" w:themeColor="background1"/>
                <w:sz w:val="20"/>
                <w:szCs w:val="20"/>
              </w:rPr>
              <w:lastRenderedPageBreak/>
              <w:t xml:space="preserve">Tutkinto-ohjelmakohtaiset kompetenssit / </w:t>
            </w:r>
            <w:r w:rsidR="009C4B1F" w:rsidRPr="00707DD7">
              <w:rPr>
                <w:rFonts w:ascii="Tahoma" w:hAnsi="Tahoma" w:cs="Tahoma"/>
                <w:b/>
                <w:bCs/>
                <w:color w:val="FFFFFF" w:themeColor="background1"/>
                <w:sz w:val="20"/>
                <w:szCs w:val="20"/>
              </w:rPr>
              <w:t xml:space="preserve">Sosionomin </w:t>
            </w:r>
            <w:r w:rsidR="006611F2">
              <w:rPr>
                <w:rFonts w:ascii="Tahoma" w:hAnsi="Tahoma" w:cs="Tahoma"/>
                <w:b/>
                <w:bCs/>
                <w:color w:val="FFFFFF" w:themeColor="background1"/>
                <w:sz w:val="20"/>
                <w:szCs w:val="20"/>
              </w:rPr>
              <w:t>tutkinto-ohjelma</w:t>
            </w:r>
          </w:p>
        </w:tc>
        <w:tc>
          <w:tcPr>
            <w:tcW w:w="5949" w:type="dxa"/>
            <w:shd w:val="clear" w:color="auto" w:fill="31A3B5"/>
          </w:tcPr>
          <w:p w14:paraId="1E823B11" w14:textId="77777777" w:rsidR="009C4B1F" w:rsidRPr="00707DD7" w:rsidRDefault="009C4B1F" w:rsidP="009E7FE2">
            <w:pPr>
              <w:rPr>
                <w:rFonts w:ascii="Tahoma" w:hAnsi="Tahoma" w:cs="Tahoma"/>
                <w:b/>
                <w:bCs/>
                <w:color w:val="FFFFFF" w:themeColor="background1"/>
                <w:sz w:val="20"/>
                <w:szCs w:val="20"/>
              </w:rPr>
            </w:pPr>
            <w:r w:rsidRPr="00707DD7">
              <w:rPr>
                <w:rFonts w:ascii="Tahoma" w:hAnsi="Tahoma" w:cs="Tahoma"/>
                <w:b/>
                <w:bCs/>
                <w:color w:val="FFFFFF" w:themeColor="background1"/>
                <w:sz w:val="20"/>
                <w:szCs w:val="20"/>
              </w:rPr>
              <w:t>Osaamisen kuvaus</w:t>
            </w:r>
          </w:p>
        </w:tc>
      </w:tr>
      <w:tr w:rsidR="00950361" w14:paraId="42D7CE45" w14:textId="77777777" w:rsidTr="009C4B1F">
        <w:tc>
          <w:tcPr>
            <w:tcW w:w="3401" w:type="dxa"/>
          </w:tcPr>
          <w:p w14:paraId="0DF94F01" w14:textId="77777777" w:rsidR="00950361" w:rsidRPr="00950361" w:rsidRDefault="00950361" w:rsidP="00950361">
            <w:pPr>
              <w:rPr>
                <w:rFonts w:ascii="Tahoma" w:hAnsi="Tahoma" w:cs="Tahoma"/>
                <w:b/>
                <w:bCs/>
                <w:sz w:val="20"/>
                <w:szCs w:val="20"/>
                <w:lang w:val="en-US"/>
              </w:rPr>
            </w:pPr>
            <w:r w:rsidRPr="00950361">
              <w:rPr>
                <w:rFonts w:ascii="Tahoma" w:hAnsi="Tahoma" w:cs="Tahoma"/>
                <w:b/>
                <w:bCs/>
                <w:sz w:val="20"/>
                <w:szCs w:val="20"/>
                <w:lang w:val="en-US"/>
              </w:rPr>
              <w:t xml:space="preserve">Sosiaalialan </w:t>
            </w:r>
            <w:proofErr w:type="spellStart"/>
            <w:r w:rsidRPr="00950361">
              <w:rPr>
                <w:rFonts w:ascii="Tahoma" w:hAnsi="Tahoma" w:cs="Tahoma"/>
                <w:b/>
                <w:bCs/>
                <w:sz w:val="20"/>
                <w:szCs w:val="20"/>
                <w:lang w:val="en-US"/>
              </w:rPr>
              <w:t>eettinen</w:t>
            </w:r>
            <w:proofErr w:type="spellEnd"/>
            <w:r w:rsidRPr="00950361">
              <w:rPr>
                <w:rFonts w:ascii="Tahoma" w:hAnsi="Tahoma" w:cs="Tahoma"/>
                <w:b/>
                <w:bCs/>
                <w:sz w:val="20"/>
                <w:szCs w:val="20"/>
                <w:lang w:val="en-US"/>
              </w:rPr>
              <w:t xml:space="preserve"> </w:t>
            </w:r>
            <w:proofErr w:type="spellStart"/>
            <w:r w:rsidRPr="00950361">
              <w:rPr>
                <w:rFonts w:ascii="Tahoma" w:hAnsi="Tahoma" w:cs="Tahoma"/>
                <w:b/>
                <w:bCs/>
                <w:sz w:val="20"/>
                <w:szCs w:val="20"/>
                <w:lang w:val="en-US"/>
              </w:rPr>
              <w:t>osaaminen</w:t>
            </w:r>
            <w:proofErr w:type="spellEnd"/>
          </w:p>
          <w:p w14:paraId="08989E2A" w14:textId="30588BF1" w:rsidR="00950361" w:rsidRPr="00950361" w:rsidRDefault="00950361" w:rsidP="00950361">
            <w:pPr>
              <w:rPr>
                <w:rFonts w:ascii="Tahoma" w:hAnsi="Tahoma" w:cs="Tahoma"/>
                <w:sz w:val="20"/>
                <w:szCs w:val="20"/>
                <w:lang w:val="en-GB"/>
              </w:rPr>
            </w:pPr>
            <w:r w:rsidRPr="00950361">
              <w:rPr>
                <w:rFonts w:ascii="Tahoma" w:hAnsi="Tahoma" w:cs="Tahoma"/>
                <w:b/>
                <w:bCs/>
                <w:sz w:val="20"/>
                <w:szCs w:val="20"/>
                <w:lang w:val="en-GB"/>
              </w:rPr>
              <w:t>Ethical competence in social work</w:t>
            </w:r>
          </w:p>
        </w:tc>
        <w:tc>
          <w:tcPr>
            <w:tcW w:w="5949" w:type="dxa"/>
          </w:tcPr>
          <w:p w14:paraId="4228C21C" w14:textId="77777777" w:rsidR="00950361" w:rsidRPr="00024B3A" w:rsidRDefault="00950361" w:rsidP="00950361">
            <w:pPr>
              <w:shd w:val="clear" w:color="auto" w:fill="FFFFFF"/>
              <w:spacing w:after="360"/>
              <w:textAlignment w:val="baseline"/>
              <w:rPr>
                <w:rFonts w:ascii="Tahoma" w:eastAsia="Times New Roman" w:hAnsi="Tahoma" w:cs="Tahoma"/>
                <w:sz w:val="20"/>
                <w:szCs w:val="20"/>
                <w:lang w:eastAsia="fi-FI"/>
              </w:rPr>
            </w:pPr>
            <w:r w:rsidRPr="00024B3A">
              <w:rPr>
                <w:rFonts w:ascii="Tahoma" w:eastAsia="Times New Roman" w:hAnsi="Tahoma" w:cs="Tahoma"/>
                <w:sz w:val="20"/>
                <w:szCs w:val="20"/>
                <w:lang w:eastAsia="fi-FI"/>
              </w:rPr>
              <w:t>Sosionomi (AMK)</w:t>
            </w:r>
          </w:p>
          <w:p w14:paraId="30AB7E38" w14:textId="77777777" w:rsidR="00950361" w:rsidRPr="00024B3A" w:rsidRDefault="00950361" w:rsidP="00950361">
            <w:pPr>
              <w:pStyle w:val="Luettelokappale"/>
              <w:numPr>
                <w:ilvl w:val="0"/>
                <w:numId w:val="19"/>
              </w:numPr>
              <w:shd w:val="clear" w:color="auto" w:fill="FFFFFF"/>
              <w:spacing w:after="0" w:line="240" w:lineRule="auto"/>
              <w:textAlignment w:val="baseline"/>
              <w:rPr>
                <w:rFonts w:ascii="Tahoma" w:hAnsi="Tahoma" w:cs="Tahoma"/>
                <w:sz w:val="20"/>
                <w:szCs w:val="20"/>
              </w:rPr>
            </w:pPr>
            <w:r w:rsidRPr="00024B3A">
              <w:rPr>
                <w:rFonts w:ascii="Tahoma" w:hAnsi="Tahoma" w:cs="Tahoma"/>
                <w:sz w:val="20"/>
                <w:szCs w:val="20"/>
              </w:rPr>
              <w:t xml:space="preserve">toimii ihmis- ja perusoikeussäädösten, sosiaalialan arvojen ja ammattieettisten periaatteiden mukaisesti </w:t>
            </w:r>
          </w:p>
          <w:p w14:paraId="3E160036" w14:textId="77777777" w:rsidR="00950361" w:rsidRPr="00024B3A" w:rsidRDefault="00950361" w:rsidP="00950361">
            <w:pPr>
              <w:pStyle w:val="Luettelokappale"/>
              <w:numPr>
                <w:ilvl w:val="0"/>
                <w:numId w:val="19"/>
              </w:numPr>
              <w:shd w:val="clear" w:color="auto" w:fill="FFFFFF"/>
              <w:spacing w:after="0" w:line="240" w:lineRule="auto"/>
              <w:textAlignment w:val="baseline"/>
              <w:rPr>
                <w:rFonts w:ascii="Tahoma" w:hAnsi="Tahoma" w:cs="Tahoma"/>
                <w:sz w:val="20"/>
                <w:szCs w:val="20"/>
              </w:rPr>
            </w:pPr>
            <w:r w:rsidRPr="00024B3A">
              <w:rPr>
                <w:rFonts w:ascii="Tahoma" w:hAnsi="Tahoma" w:cs="Tahoma"/>
                <w:sz w:val="20"/>
                <w:szCs w:val="20"/>
              </w:rPr>
              <w:t xml:space="preserve">ymmärtää oman ihmiskäsityksensä ja arvomaailmansa merkityksen asiakastyössä - edistää yhdenvertaisuutta, tasa-arvoa ja moninaisuutta sekä toimii arvoristiriitoja sisältävissä tilanteissa eettisesti perustellusti ja sosiaalisesti kestävällä tavalla </w:t>
            </w:r>
          </w:p>
          <w:p w14:paraId="6D12F799" w14:textId="77777777" w:rsidR="00950361" w:rsidRPr="00024B3A" w:rsidRDefault="00950361" w:rsidP="00950361">
            <w:pPr>
              <w:pStyle w:val="Luettelokappale"/>
              <w:numPr>
                <w:ilvl w:val="0"/>
                <w:numId w:val="19"/>
              </w:numPr>
              <w:shd w:val="clear" w:color="auto" w:fill="FFFFFF"/>
              <w:spacing w:after="0" w:line="240" w:lineRule="auto"/>
              <w:textAlignment w:val="baseline"/>
              <w:rPr>
                <w:rFonts w:ascii="Tahoma" w:hAnsi="Tahoma" w:cs="Tahoma"/>
                <w:sz w:val="20"/>
                <w:szCs w:val="20"/>
              </w:rPr>
            </w:pPr>
            <w:r w:rsidRPr="00024B3A">
              <w:rPr>
                <w:rFonts w:ascii="Tahoma" w:hAnsi="Tahoma" w:cs="Tahoma"/>
                <w:sz w:val="20"/>
                <w:szCs w:val="20"/>
              </w:rPr>
              <w:t xml:space="preserve">ymmärtää kulttuurista moninaisuutta ja toimii vuorovaikutustilanteissa sensitiivisesti </w:t>
            </w:r>
          </w:p>
          <w:p w14:paraId="32996C2D" w14:textId="0BB19C93" w:rsidR="00950361" w:rsidRPr="00950361" w:rsidRDefault="00950361" w:rsidP="00950361">
            <w:pPr>
              <w:pStyle w:val="Luettelokappale"/>
              <w:numPr>
                <w:ilvl w:val="0"/>
                <w:numId w:val="19"/>
              </w:numPr>
              <w:rPr>
                <w:rFonts w:ascii="Tahoma" w:hAnsi="Tahoma" w:cs="Tahoma"/>
                <w:sz w:val="20"/>
                <w:szCs w:val="20"/>
              </w:rPr>
            </w:pPr>
            <w:r w:rsidRPr="00024B3A">
              <w:rPr>
                <w:rFonts w:ascii="Tahoma" w:hAnsi="Tahoma" w:cs="Tahoma"/>
                <w:sz w:val="20"/>
                <w:szCs w:val="20"/>
              </w:rPr>
              <w:t>edistää haavoittuvassa asemassa olevien yksilöiden ja yhteisöjen asemaa</w:t>
            </w:r>
          </w:p>
        </w:tc>
      </w:tr>
      <w:tr w:rsidR="00950361" w14:paraId="29A6509B" w14:textId="77777777" w:rsidTr="009C4B1F">
        <w:tc>
          <w:tcPr>
            <w:tcW w:w="3401" w:type="dxa"/>
          </w:tcPr>
          <w:p w14:paraId="1B31D1A3" w14:textId="77777777" w:rsidR="00950361" w:rsidRPr="00950361" w:rsidRDefault="00950361" w:rsidP="00950361">
            <w:pPr>
              <w:rPr>
                <w:rFonts w:ascii="Tahoma" w:hAnsi="Tahoma" w:cs="Tahoma"/>
                <w:b/>
                <w:bCs/>
                <w:sz w:val="20"/>
                <w:szCs w:val="20"/>
              </w:rPr>
            </w:pPr>
            <w:r w:rsidRPr="00950361">
              <w:rPr>
                <w:rFonts w:ascii="Tahoma" w:hAnsi="Tahoma" w:cs="Tahoma"/>
                <w:b/>
                <w:bCs/>
                <w:sz w:val="20"/>
                <w:szCs w:val="20"/>
              </w:rPr>
              <w:t>Asiakastyön osaaminen</w:t>
            </w:r>
          </w:p>
          <w:p w14:paraId="6479617E" w14:textId="6144090B" w:rsidR="00950361" w:rsidRPr="00950361" w:rsidRDefault="00950361" w:rsidP="00950361">
            <w:pPr>
              <w:rPr>
                <w:rFonts w:ascii="Tahoma" w:hAnsi="Tahoma" w:cs="Tahoma"/>
                <w:sz w:val="20"/>
                <w:szCs w:val="20"/>
              </w:rPr>
            </w:pPr>
            <w:r w:rsidRPr="00950361">
              <w:rPr>
                <w:rFonts w:ascii="Tahoma" w:hAnsi="Tahoma" w:cs="Tahoma"/>
                <w:b/>
                <w:bCs/>
                <w:sz w:val="20"/>
                <w:szCs w:val="20"/>
              </w:rPr>
              <w:t xml:space="preserve">Client </w:t>
            </w:r>
            <w:proofErr w:type="spellStart"/>
            <w:r w:rsidRPr="00950361">
              <w:rPr>
                <w:rFonts w:ascii="Tahoma" w:hAnsi="Tahoma" w:cs="Tahoma"/>
                <w:b/>
                <w:bCs/>
                <w:sz w:val="20"/>
                <w:szCs w:val="20"/>
              </w:rPr>
              <w:t>work</w:t>
            </w:r>
            <w:proofErr w:type="spellEnd"/>
            <w:r w:rsidRPr="00950361">
              <w:rPr>
                <w:rFonts w:ascii="Tahoma" w:hAnsi="Tahoma" w:cs="Tahoma"/>
                <w:b/>
                <w:bCs/>
                <w:sz w:val="20"/>
                <w:szCs w:val="20"/>
              </w:rPr>
              <w:t xml:space="preserve"> </w:t>
            </w:r>
            <w:proofErr w:type="spellStart"/>
            <w:r w:rsidRPr="00950361">
              <w:rPr>
                <w:rFonts w:ascii="Tahoma" w:hAnsi="Tahoma" w:cs="Tahoma"/>
                <w:b/>
                <w:bCs/>
                <w:sz w:val="20"/>
                <w:szCs w:val="20"/>
              </w:rPr>
              <w:t>competence</w:t>
            </w:r>
            <w:proofErr w:type="spellEnd"/>
          </w:p>
        </w:tc>
        <w:tc>
          <w:tcPr>
            <w:tcW w:w="5949" w:type="dxa"/>
          </w:tcPr>
          <w:p w14:paraId="0A1BD8FF" w14:textId="77777777" w:rsidR="00950361" w:rsidRPr="00950361" w:rsidRDefault="00950361" w:rsidP="00950361">
            <w:pPr>
              <w:shd w:val="clear" w:color="auto" w:fill="FFFFFF"/>
              <w:spacing w:after="360"/>
              <w:textAlignment w:val="baseline"/>
              <w:rPr>
                <w:rFonts w:ascii="Tahoma" w:eastAsia="Times New Roman" w:hAnsi="Tahoma" w:cs="Tahoma"/>
                <w:sz w:val="20"/>
                <w:szCs w:val="20"/>
                <w:lang w:eastAsia="fi-FI"/>
              </w:rPr>
            </w:pPr>
            <w:r w:rsidRPr="00950361">
              <w:rPr>
                <w:rFonts w:ascii="Tahoma" w:eastAsia="Times New Roman" w:hAnsi="Tahoma" w:cs="Tahoma"/>
                <w:sz w:val="20"/>
                <w:szCs w:val="20"/>
                <w:lang w:eastAsia="fi-FI"/>
              </w:rPr>
              <w:t>Sosionomi (AMK)</w:t>
            </w:r>
          </w:p>
          <w:p w14:paraId="696054A0" w14:textId="77777777" w:rsidR="00950361" w:rsidRPr="00950361" w:rsidRDefault="00950361" w:rsidP="00950361">
            <w:pPr>
              <w:pStyle w:val="Luettelokappale"/>
              <w:numPr>
                <w:ilvl w:val="0"/>
                <w:numId w:val="20"/>
              </w:numPr>
              <w:shd w:val="clear" w:color="auto" w:fill="FFFFFF"/>
              <w:spacing w:after="0" w:line="240" w:lineRule="auto"/>
              <w:textAlignment w:val="baseline"/>
              <w:rPr>
                <w:rFonts w:ascii="Tahoma" w:eastAsia="Times New Roman" w:hAnsi="Tahoma" w:cs="Tahoma"/>
                <w:sz w:val="20"/>
                <w:szCs w:val="20"/>
                <w:lang w:eastAsia="fi-FI"/>
              </w:rPr>
            </w:pPr>
            <w:r w:rsidRPr="00950361">
              <w:rPr>
                <w:rFonts w:ascii="Tahoma" w:hAnsi="Tahoma" w:cs="Tahoma"/>
                <w:sz w:val="20"/>
                <w:szCs w:val="20"/>
              </w:rPr>
              <w:t xml:space="preserve">toimii ammatillisesti ja dialogisesti vuorovaikutustilanteissa ja kykenee reflektoimaan kriittisesti omaa toimintaansa </w:t>
            </w:r>
          </w:p>
          <w:p w14:paraId="2F9B5B7D" w14:textId="77777777" w:rsidR="00950361" w:rsidRPr="00950361" w:rsidRDefault="00950361" w:rsidP="00950361">
            <w:pPr>
              <w:pStyle w:val="Luettelokappale"/>
              <w:numPr>
                <w:ilvl w:val="0"/>
                <w:numId w:val="20"/>
              </w:numPr>
              <w:shd w:val="clear" w:color="auto" w:fill="FFFFFF"/>
              <w:spacing w:after="0" w:line="240" w:lineRule="auto"/>
              <w:textAlignment w:val="baseline"/>
              <w:rPr>
                <w:rFonts w:ascii="Tahoma" w:eastAsia="Times New Roman" w:hAnsi="Tahoma" w:cs="Tahoma"/>
                <w:sz w:val="20"/>
                <w:szCs w:val="20"/>
                <w:lang w:eastAsia="fi-FI"/>
              </w:rPr>
            </w:pPr>
            <w:r w:rsidRPr="00950361">
              <w:rPr>
                <w:rFonts w:ascii="Tahoma" w:hAnsi="Tahoma" w:cs="Tahoma"/>
                <w:sz w:val="20"/>
                <w:szCs w:val="20"/>
              </w:rPr>
              <w:t xml:space="preserve">suunnittelee, toteuttaa ja arvioi asiakasturvallisen palveluprosessin asiakkaan osallisuutta ja voimavaroja tukien </w:t>
            </w:r>
          </w:p>
          <w:p w14:paraId="76118A52" w14:textId="77777777" w:rsidR="00950361" w:rsidRPr="00950361" w:rsidRDefault="00950361" w:rsidP="00950361">
            <w:pPr>
              <w:pStyle w:val="Luettelokappale"/>
              <w:numPr>
                <w:ilvl w:val="0"/>
                <w:numId w:val="20"/>
              </w:numPr>
              <w:shd w:val="clear" w:color="auto" w:fill="FFFFFF"/>
              <w:spacing w:after="0" w:line="240" w:lineRule="auto"/>
              <w:textAlignment w:val="baseline"/>
              <w:rPr>
                <w:rFonts w:ascii="Tahoma" w:eastAsia="Times New Roman" w:hAnsi="Tahoma" w:cs="Tahoma"/>
                <w:sz w:val="20"/>
                <w:szCs w:val="20"/>
                <w:lang w:eastAsia="fi-FI"/>
              </w:rPr>
            </w:pPr>
            <w:r w:rsidRPr="00950361">
              <w:rPr>
                <w:rFonts w:ascii="Tahoma" w:hAnsi="Tahoma" w:cs="Tahoma"/>
                <w:sz w:val="20"/>
                <w:szCs w:val="20"/>
              </w:rPr>
              <w:t xml:space="preserve">tukee tavoitteellisesti yksilöiden, ryhmien ja yhteisöjen kasvua, kehitystä ja arkea erilaisissa elämäntilanteissa </w:t>
            </w:r>
          </w:p>
          <w:p w14:paraId="19F469AC" w14:textId="77777777" w:rsidR="00950361" w:rsidRPr="00950361" w:rsidRDefault="00950361" w:rsidP="00950361">
            <w:pPr>
              <w:pStyle w:val="Luettelokappale"/>
              <w:numPr>
                <w:ilvl w:val="0"/>
                <w:numId w:val="20"/>
              </w:numPr>
              <w:shd w:val="clear" w:color="auto" w:fill="FFFFFF"/>
              <w:spacing w:after="0" w:line="240" w:lineRule="auto"/>
              <w:textAlignment w:val="baseline"/>
              <w:rPr>
                <w:rFonts w:ascii="Tahoma" w:eastAsia="Times New Roman" w:hAnsi="Tahoma" w:cs="Tahoma"/>
                <w:sz w:val="20"/>
                <w:szCs w:val="20"/>
                <w:lang w:eastAsia="fi-FI"/>
              </w:rPr>
            </w:pPr>
            <w:r w:rsidRPr="00950361">
              <w:rPr>
                <w:rFonts w:ascii="Tahoma" w:hAnsi="Tahoma" w:cs="Tahoma"/>
                <w:sz w:val="20"/>
                <w:szCs w:val="20"/>
              </w:rPr>
              <w:t xml:space="preserve">tunnistaa ja arvioi hyvinvoinnin riski- ja suojatekijöitä sekä soveltaa ennalta ehkäisevän työn ja varhaisen tukemisen menetelmiä </w:t>
            </w:r>
          </w:p>
          <w:p w14:paraId="5086A4F4" w14:textId="77777777" w:rsidR="00950361" w:rsidRPr="00950361" w:rsidRDefault="00950361" w:rsidP="00950361">
            <w:pPr>
              <w:pStyle w:val="Luettelokappale"/>
              <w:numPr>
                <w:ilvl w:val="0"/>
                <w:numId w:val="20"/>
              </w:numPr>
              <w:shd w:val="clear" w:color="auto" w:fill="FFFFFF"/>
              <w:spacing w:after="0" w:line="240" w:lineRule="auto"/>
              <w:textAlignment w:val="baseline"/>
              <w:rPr>
                <w:rFonts w:ascii="Tahoma" w:eastAsia="Times New Roman" w:hAnsi="Tahoma" w:cs="Tahoma"/>
                <w:sz w:val="20"/>
                <w:szCs w:val="20"/>
                <w:lang w:eastAsia="fi-FI"/>
              </w:rPr>
            </w:pPr>
            <w:r w:rsidRPr="00950361">
              <w:rPr>
                <w:rFonts w:ascii="Tahoma" w:hAnsi="Tahoma" w:cs="Tahoma"/>
                <w:sz w:val="20"/>
                <w:szCs w:val="20"/>
              </w:rPr>
              <w:t xml:space="preserve">soveltaa ja arvioi sosiaaliohjauksen työorientaatioita ja menetelmiä asiakas-, ryhmä- ja yhteisötyössä erilaisissa toimintaympäristöissä </w:t>
            </w:r>
          </w:p>
          <w:p w14:paraId="58730AB1" w14:textId="77777777" w:rsidR="00950361" w:rsidRPr="00950361" w:rsidRDefault="00950361" w:rsidP="00950361">
            <w:pPr>
              <w:pStyle w:val="Luettelokappale"/>
              <w:numPr>
                <w:ilvl w:val="0"/>
                <w:numId w:val="20"/>
              </w:numPr>
              <w:shd w:val="clear" w:color="auto" w:fill="FFFFFF"/>
              <w:spacing w:after="0" w:line="240" w:lineRule="auto"/>
              <w:textAlignment w:val="baseline"/>
              <w:rPr>
                <w:rFonts w:ascii="Tahoma" w:eastAsia="Times New Roman" w:hAnsi="Tahoma" w:cs="Tahoma"/>
                <w:sz w:val="20"/>
                <w:szCs w:val="20"/>
                <w:lang w:eastAsia="fi-FI"/>
              </w:rPr>
            </w:pPr>
            <w:r w:rsidRPr="00950361">
              <w:rPr>
                <w:rFonts w:ascii="Tahoma" w:hAnsi="Tahoma" w:cs="Tahoma"/>
                <w:sz w:val="20"/>
                <w:szCs w:val="20"/>
              </w:rPr>
              <w:t xml:space="preserve">ymmärtää psykososiaalisen tuen merkityksen ja osaa toimia erilaisissa asiakkaan muutos- ja kriisitilanteissa </w:t>
            </w:r>
          </w:p>
          <w:p w14:paraId="506E1146" w14:textId="77777777" w:rsidR="00950361" w:rsidRPr="00950361" w:rsidRDefault="00950361" w:rsidP="00950361">
            <w:pPr>
              <w:pStyle w:val="Luettelokappale"/>
              <w:numPr>
                <w:ilvl w:val="0"/>
                <w:numId w:val="20"/>
              </w:numPr>
              <w:shd w:val="clear" w:color="auto" w:fill="FFFFFF"/>
              <w:spacing w:after="0" w:line="240" w:lineRule="auto"/>
              <w:textAlignment w:val="baseline"/>
              <w:rPr>
                <w:rFonts w:ascii="Tahoma" w:eastAsia="Times New Roman" w:hAnsi="Tahoma" w:cs="Tahoma"/>
                <w:sz w:val="20"/>
                <w:szCs w:val="20"/>
                <w:lang w:eastAsia="fi-FI"/>
              </w:rPr>
            </w:pPr>
            <w:r w:rsidRPr="00950361">
              <w:rPr>
                <w:rFonts w:ascii="Tahoma" w:hAnsi="Tahoma" w:cs="Tahoma"/>
                <w:sz w:val="20"/>
                <w:szCs w:val="20"/>
              </w:rPr>
              <w:t xml:space="preserve">toteuttaa ja dokumentoi asiakastyötä asiakaslähtöisesti digitaalisessa toimintaympäristössä huomioiden tietoturva ja -suojavaatimukset </w:t>
            </w:r>
          </w:p>
          <w:p w14:paraId="299996A1" w14:textId="77777777" w:rsidR="00950361" w:rsidRPr="00950361" w:rsidRDefault="00950361" w:rsidP="00950361">
            <w:pPr>
              <w:pStyle w:val="Luettelokappale"/>
              <w:numPr>
                <w:ilvl w:val="0"/>
                <w:numId w:val="20"/>
              </w:numPr>
              <w:shd w:val="clear" w:color="auto" w:fill="FFFFFF"/>
              <w:spacing w:after="0" w:line="240" w:lineRule="auto"/>
              <w:textAlignment w:val="baseline"/>
              <w:rPr>
                <w:rFonts w:ascii="Tahoma" w:eastAsia="Times New Roman" w:hAnsi="Tahoma" w:cs="Tahoma"/>
                <w:sz w:val="20"/>
                <w:szCs w:val="20"/>
                <w:lang w:eastAsia="fi-FI"/>
              </w:rPr>
            </w:pPr>
            <w:r w:rsidRPr="00950361">
              <w:rPr>
                <w:rFonts w:ascii="Tahoma" w:hAnsi="Tahoma" w:cs="Tahoma"/>
                <w:sz w:val="20"/>
                <w:szCs w:val="20"/>
              </w:rPr>
              <w:t>käyttää toiminnassaan hyvinvoinnin edistämisen, varhaisen tuen ja kuntouttavaa työotetta</w:t>
            </w:r>
          </w:p>
          <w:p w14:paraId="0E6A936C" w14:textId="77777777" w:rsidR="00950361" w:rsidRPr="00950361" w:rsidRDefault="00950361" w:rsidP="00950361">
            <w:pPr>
              <w:rPr>
                <w:rFonts w:ascii="Tahoma" w:hAnsi="Tahoma" w:cs="Tahoma"/>
                <w:sz w:val="20"/>
                <w:szCs w:val="20"/>
              </w:rPr>
            </w:pPr>
          </w:p>
        </w:tc>
      </w:tr>
      <w:tr w:rsidR="00950361" w14:paraId="7EF96890" w14:textId="77777777" w:rsidTr="009C4B1F">
        <w:tc>
          <w:tcPr>
            <w:tcW w:w="3401" w:type="dxa"/>
          </w:tcPr>
          <w:p w14:paraId="1A20BCD5" w14:textId="77777777" w:rsidR="00950361" w:rsidRPr="00950361" w:rsidRDefault="00950361" w:rsidP="00950361">
            <w:pPr>
              <w:rPr>
                <w:rFonts w:ascii="Tahoma" w:hAnsi="Tahoma" w:cs="Tahoma"/>
                <w:b/>
                <w:bCs/>
                <w:sz w:val="20"/>
                <w:szCs w:val="20"/>
              </w:rPr>
            </w:pPr>
            <w:r w:rsidRPr="00950361">
              <w:rPr>
                <w:rFonts w:ascii="Tahoma" w:hAnsi="Tahoma" w:cs="Tahoma"/>
                <w:b/>
                <w:bCs/>
                <w:sz w:val="20"/>
                <w:szCs w:val="20"/>
              </w:rPr>
              <w:t>Sosiaalialan palvelujärjestelmäosaaminen</w:t>
            </w:r>
          </w:p>
          <w:p w14:paraId="7BE7D8B6" w14:textId="74F9053A" w:rsidR="00950361" w:rsidRPr="00950361" w:rsidRDefault="00950361" w:rsidP="00950361">
            <w:pPr>
              <w:rPr>
                <w:rFonts w:ascii="Tahoma" w:hAnsi="Tahoma" w:cs="Tahoma"/>
                <w:b/>
                <w:bCs/>
                <w:sz w:val="20"/>
                <w:szCs w:val="20"/>
              </w:rPr>
            </w:pPr>
            <w:proofErr w:type="spellStart"/>
            <w:r w:rsidRPr="00950361">
              <w:rPr>
                <w:rFonts w:ascii="Tahoma" w:hAnsi="Tahoma" w:cs="Tahoma"/>
                <w:b/>
                <w:bCs/>
                <w:sz w:val="20"/>
                <w:szCs w:val="20"/>
              </w:rPr>
              <w:t>Social</w:t>
            </w:r>
            <w:proofErr w:type="spellEnd"/>
            <w:r w:rsidRPr="00950361">
              <w:rPr>
                <w:rFonts w:ascii="Tahoma" w:hAnsi="Tahoma" w:cs="Tahoma"/>
                <w:b/>
                <w:bCs/>
                <w:sz w:val="20"/>
                <w:szCs w:val="20"/>
              </w:rPr>
              <w:t xml:space="preserve"> </w:t>
            </w:r>
            <w:proofErr w:type="spellStart"/>
            <w:r w:rsidRPr="00950361">
              <w:rPr>
                <w:rFonts w:ascii="Tahoma" w:hAnsi="Tahoma" w:cs="Tahoma"/>
                <w:b/>
                <w:bCs/>
                <w:sz w:val="20"/>
                <w:szCs w:val="20"/>
              </w:rPr>
              <w:t>services</w:t>
            </w:r>
            <w:proofErr w:type="spellEnd"/>
            <w:r w:rsidRPr="00950361">
              <w:rPr>
                <w:rFonts w:ascii="Tahoma" w:hAnsi="Tahoma" w:cs="Tahoma"/>
                <w:b/>
                <w:bCs/>
                <w:sz w:val="20"/>
                <w:szCs w:val="20"/>
              </w:rPr>
              <w:t xml:space="preserve"> </w:t>
            </w:r>
            <w:proofErr w:type="spellStart"/>
            <w:r w:rsidRPr="00950361">
              <w:rPr>
                <w:rFonts w:ascii="Tahoma" w:hAnsi="Tahoma" w:cs="Tahoma"/>
                <w:b/>
                <w:bCs/>
                <w:sz w:val="20"/>
                <w:szCs w:val="20"/>
              </w:rPr>
              <w:t>competence</w:t>
            </w:r>
            <w:proofErr w:type="spellEnd"/>
          </w:p>
        </w:tc>
        <w:tc>
          <w:tcPr>
            <w:tcW w:w="5949" w:type="dxa"/>
          </w:tcPr>
          <w:p w14:paraId="104A77B6" w14:textId="77777777" w:rsidR="00950361" w:rsidRPr="00950361" w:rsidRDefault="00950361" w:rsidP="00950361">
            <w:pPr>
              <w:shd w:val="clear" w:color="auto" w:fill="FFFFFF"/>
              <w:spacing w:after="360"/>
              <w:textAlignment w:val="baseline"/>
              <w:rPr>
                <w:rFonts w:ascii="Tahoma" w:eastAsia="Times New Roman" w:hAnsi="Tahoma" w:cs="Tahoma"/>
                <w:sz w:val="20"/>
                <w:szCs w:val="20"/>
                <w:lang w:eastAsia="fi-FI"/>
              </w:rPr>
            </w:pPr>
            <w:r w:rsidRPr="00950361">
              <w:rPr>
                <w:rFonts w:ascii="Tahoma" w:eastAsia="Times New Roman" w:hAnsi="Tahoma" w:cs="Tahoma"/>
                <w:sz w:val="20"/>
                <w:szCs w:val="20"/>
                <w:lang w:eastAsia="fi-FI"/>
              </w:rPr>
              <w:t>Sosionomi (AMK)</w:t>
            </w:r>
          </w:p>
          <w:p w14:paraId="13DF3B7D"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jäsentää hyvinvointiin ja kestävään kehitykseen liittyviä alueellisia, kansallisia ja kansainvälisiä haasteita sekä niiden vaikutuksia sosiaali-, terveys- ja kasvatuspalveluihin </w:t>
            </w:r>
          </w:p>
          <w:p w14:paraId="75F9F0FD"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tuntee alan juridisen säädöspohjan ja toimii keskeisen lainsäädännön mukaisesti </w:t>
            </w:r>
          </w:p>
          <w:p w14:paraId="109F1E29"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lastRenderedPageBreak/>
              <w:t xml:space="preserve">tuntee hyvinvointialueiden, kuntien, yksityisen ja kolmannen sektorin sosiaali-, terveys- ja kasvatuspalvelujen järjestämisen ja tuottamisen tavat, ohjauksen ja valvonnan </w:t>
            </w:r>
          </w:p>
          <w:p w14:paraId="4354D54C" w14:textId="6BCBBFAB"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ymmärtää sosiaaliturvan toimintaperiaatteet </w:t>
            </w:r>
          </w:p>
          <w:p w14:paraId="2887AC9D"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toteuttaa kokonaisvaltaista palveluohjausta ja ymmärtää palveluohjauksen merkityksen </w:t>
            </w:r>
          </w:p>
          <w:p w14:paraId="0477B222" w14:textId="77F5BB01" w:rsidR="00950361" w:rsidRPr="00950361" w:rsidRDefault="00950361" w:rsidP="00950361">
            <w:pPr>
              <w:pStyle w:val="Luettelokappale"/>
              <w:numPr>
                <w:ilvl w:val="0"/>
                <w:numId w:val="21"/>
              </w:numPr>
              <w:rPr>
                <w:rFonts w:ascii="Tahoma" w:hAnsi="Tahoma" w:cs="Tahoma"/>
                <w:sz w:val="20"/>
                <w:szCs w:val="20"/>
              </w:rPr>
            </w:pPr>
            <w:r w:rsidRPr="00950361">
              <w:rPr>
                <w:rFonts w:ascii="Tahoma" w:hAnsi="Tahoma" w:cs="Tahoma"/>
                <w:sz w:val="20"/>
                <w:szCs w:val="20"/>
              </w:rPr>
              <w:t>toimii aktiivisena sosiaalialan asiantuntijana asiakkaan edun mukaisesti monitoimijaisessa verkostoyhteistyössä</w:t>
            </w:r>
          </w:p>
        </w:tc>
      </w:tr>
      <w:tr w:rsidR="00950361" w14:paraId="0E2B72DB" w14:textId="77777777" w:rsidTr="009C4B1F">
        <w:tc>
          <w:tcPr>
            <w:tcW w:w="3401" w:type="dxa"/>
          </w:tcPr>
          <w:p w14:paraId="77CD8138" w14:textId="77777777" w:rsidR="00950361" w:rsidRPr="00950361" w:rsidRDefault="00950361" w:rsidP="00950361">
            <w:pPr>
              <w:rPr>
                <w:rFonts w:ascii="Tahoma" w:hAnsi="Tahoma" w:cs="Tahoma"/>
                <w:b/>
                <w:bCs/>
                <w:sz w:val="20"/>
                <w:szCs w:val="20"/>
              </w:rPr>
            </w:pPr>
            <w:r w:rsidRPr="00950361">
              <w:rPr>
                <w:rFonts w:ascii="Tahoma" w:hAnsi="Tahoma" w:cs="Tahoma"/>
                <w:b/>
                <w:bCs/>
                <w:sz w:val="20"/>
                <w:szCs w:val="20"/>
              </w:rPr>
              <w:lastRenderedPageBreak/>
              <w:t>Kriittinen ja osallistava yhteiskuntaosaaminen</w:t>
            </w:r>
          </w:p>
          <w:p w14:paraId="022C5DC2" w14:textId="21E33E8D" w:rsidR="00950361" w:rsidRPr="00950361" w:rsidRDefault="00950361" w:rsidP="00950361">
            <w:pPr>
              <w:rPr>
                <w:rFonts w:ascii="Tahoma" w:hAnsi="Tahoma" w:cs="Tahoma"/>
                <w:sz w:val="20"/>
                <w:szCs w:val="20"/>
              </w:rPr>
            </w:pPr>
            <w:proofErr w:type="spellStart"/>
            <w:r w:rsidRPr="00950361">
              <w:rPr>
                <w:rFonts w:ascii="Tahoma" w:hAnsi="Tahoma" w:cs="Tahoma"/>
                <w:b/>
                <w:bCs/>
                <w:sz w:val="20"/>
                <w:szCs w:val="20"/>
              </w:rPr>
              <w:t>Social</w:t>
            </w:r>
            <w:proofErr w:type="spellEnd"/>
            <w:r w:rsidRPr="00950361">
              <w:rPr>
                <w:rFonts w:ascii="Tahoma" w:hAnsi="Tahoma" w:cs="Tahoma"/>
                <w:b/>
                <w:bCs/>
                <w:sz w:val="20"/>
                <w:szCs w:val="20"/>
              </w:rPr>
              <w:t xml:space="preserve"> </w:t>
            </w:r>
            <w:proofErr w:type="spellStart"/>
            <w:r w:rsidRPr="00950361">
              <w:rPr>
                <w:rFonts w:ascii="Tahoma" w:hAnsi="Tahoma" w:cs="Tahoma"/>
                <w:b/>
                <w:bCs/>
                <w:sz w:val="20"/>
                <w:szCs w:val="20"/>
              </w:rPr>
              <w:t>services</w:t>
            </w:r>
            <w:proofErr w:type="spellEnd"/>
            <w:r w:rsidRPr="00950361">
              <w:rPr>
                <w:rFonts w:ascii="Tahoma" w:hAnsi="Tahoma" w:cs="Tahoma"/>
                <w:b/>
                <w:bCs/>
                <w:sz w:val="20"/>
                <w:szCs w:val="20"/>
              </w:rPr>
              <w:t xml:space="preserve"> </w:t>
            </w:r>
            <w:proofErr w:type="spellStart"/>
            <w:r w:rsidRPr="00950361">
              <w:rPr>
                <w:rFonts w:ascii="Tahoma" w:hAnsi="Tahoma" w:cs="Tahoma"/>
                <w:b/>
                <w:bCs/>
                <w:sz w:val="20"/>
                <w:szCs w:val="20"/>
              </w:rPr>
              <w:t>competence</w:t>
            </w:r>
            <w:proofErr w:type="spellEnd"/>
          </w:p>
        </w:tc>
        <w:tc>
          <w:tcPr>
            <w:tcW w:w="5949" w:type="dxa"/>
          </w:tcPr>
          <w:p w14:paraId="25E36EC8" w14:textId="77777777" w:rsidR="00950361" w:rsidRPr="00950361" w:rsidRDefault="00950361" w:rsidP="00950361">
            <w:pPr>
              <w:shd w:val="clear" w:color="auto" w:fill="FFFFFF"/>
              <w:spacing w:after="360"/>
              <w:textAlignment w:val="baseline"/>
              <w:rPr>
                <w:rFonts w:ascii="Tahoma" w:eastAsia="Times New Roman" w:hAnsi="Tahoma" w:cs="Tahoma"/>
                <w:sz w:val="20"/>
                <w:szCs w:val="20"/>
                <w:lang w:eastAsia="fi-FI"/>
              </w:rPr>
            </w:pPr>
            <w:r w:rsidRPr="00950361">
              <w:rPr>
                <w:rFonts w:ascii="Tahoma" w:eastAsia="Times New Roman" w:hAnsi="Tahoma" w:cs="Tahoma"/>
                <w:sz w:val="20"/>
                <w:szCs w:val="20"/>
                <w:lang w:eastAsia="fi-FI"/>
              </w:rPr>
              <w:t>Sosionomi (AMK)</w:t>
            </w:r>
          </w:p>
          <w:p w14:paraId="211DB40B" w14:textId="77777777" w:rsidR="00950361" w:rsidRPr="00950361" w:rsidRDefault="00950361" w:rsidP="00950361">
            <w:pPr>
              <w:pStyle w:val="Luettelokappale"/>
              <w:numPr>
                <w:ilvl w:val="0"/>
                <w:numId w:val="21"/>
              </w:numPr>
              <w:shd w:val="clear" w:color="auto" w:fill="FFFFFF"/>
              <w:spacing w:after="360" w:line="240" w:lineRule="auto"/>
              <w:textAlignment w:val="baseline"/>
              <w:rPr>
                <w:rFonts w:ascii="Tahoma" w:hAnsi="Tahoma" w:cs="Tahoma"/>
                <w:sz w:val="20"/>
                <w:szCs w:val="20"/>
              </w:rPr>
            </w:pPr>
            <w:r w:rsidRPr="00950361">
              <w:rPr>
                <w:rFonts w:ascii="Tahoma" w:hAnsi="Tahoma" w:cs="Tahoma"/>
                <w:sz w:val="20"/>
                <w:szCs w:val="20"/>
              </w:rPr>
              <w:t xml:space="preserve">arvioi yhteiskunnallisten ilmiöiden ja valtarakenteiden merkitystä sekä niiden vaikutusta yksilöiden, ryhmien ja yhteisöjen mahdollisuuksiin toimia yhteiskunnassa </w:t>
            </w:r>
          </w:p>
          <w:p w14:paraId="0B90C51E" w14:textId="77777777" w:rsidR="00950361" w:rsidRPr="00950361" w:rsidRDefault="00950361" w:rsidP="00950361">
            <w:pPr>
              <w:pStyle w:val="Luettelokappale"/>
              <w:numPr>
                <w:ilvl w:val="0"/>
                <w:numId w:val="21"/>
              </w:numPr>
              <w:shd w:val="clear" w:color="auto" w:fill="FFFFFF"/>
              <w:spacing w:after="360" w:line="240" w:lineRule="auto"/>
              <w:textAlignment w:val="baseline"/>
              <w:rPr>
                <w:rFonts w:ascii="Tahoma" w:hAnsi="Tahoma" w:cs="Tahoma"/>
                <w:sz w:val="20"/>
                <w:szCs w:val="20"/>
              </w:rPr>
            </w:pPr>
            <w:r w:rsidRPr="00950361">
              <w:rPr>
                <w:rFonts w:ascii="Tahoma" w:hAnsi="Tahoma" w:cs="Tahoma"/>
                <w:sz w:val="20"/>
                <w:szCs w:val="20"/>
              </w:rPr>
              <w:t xml:space="preserve"> analysoi eriarvoisuutta, huono-osaisuutta sekä hyvinvointia tuottavia rakenteita ja prosesseja sekä ehkäisee marginalisoitumista </w:t>
            </w:r>
          </w:p>
          <w:p w14:paraId="4BE6CF70" w14:textId="77777777" w:rsidR="00950361" w:rsidRPr="00950361" w:rsidRDefault="00950361" w:rsidP="00950361">
            <w:pPr>
              <w:pStyle w:val="Luettelokappale"/>
              <w:numPr>
                <w:ilvl w:val="0"/>
                <w:numId w:val="21"/>
              </w:numPr>
              <w:shd w:val="clear" w:color="auto" w:fill="FFFFFF"/>
              <w:spacing w:after="360" w:line="240" w:lineRule="auto"/>
              <w:textAlignment w:val="baseline"/>
              <w:rPr>
                <w:rFonts w:ascii="Tahoma" w:hAnsi="Tahoma" w:cs="Tahoma"/>
                <w:sz w:val="20"/>
                <w:szCs w:val="20"/>
              </w:rPr>
            </w:pPr>
            <w:r w:rsidRPr="00950361">
              <w:rPr>
                <w:rFonts w:ascii="Tahoma" w:hAnsi="Tahoma" w:cs="Tahoma"/>
                <w:sz w:val="20"/>
                <w:szCs w:val="20"/>
              </w:rPr>
              <w:t xml:space="preserve">tuntee julkishallinnollisen päätöksentekojärjestelmän toimintaperiaatteet ja osaa toimia niiden mukaan asiakkaan etua ajaen </w:t>
            </w:r>
          </w:p>
          <w:p w14:paraId="48F5469A" w14:textId="77777777" w:rsidR="00024B3A" w:rsidRDefault="00950361" w:rsidP="00024B3A">
            <w:pPr>
              <w:pStyle w:val="Luettelokappale"/>
              <w:numPr>
                <w:ilvl w:val="0"/>
                <w:numId w:val="21"/>
              </w:numPr>
              <w:shd w:val="clear" w:color="auto" w:fill="FFFFFF"/>
              <w:spacing w:after="360" w:line="240" w:lineRule="auto"/>
              <w:textAlignment w:val="baseline"/>
              <w:rPr>
                <w:rFonts w:ascii="Tahoma" w:hAnsi="Tahoma" w:cs="Tahoma"/>
                <w:sz w:val="20"/>
                <w:szCs w:val="20"/>
              </w:rPr>
            </w:pPr>
            <w:r w:rsidRPr="00950361">
              <w:rPr>
                <w:rFonts w:ascii="Tahoma" w:hAnsi="Tahoma" w:cs="Tahoma"/>
                <w:sz w:val="20"/>
                <w:szCs w:val="20"/>
              </w:rPr>
              <w:t xml:space="preserve">edistää asiakkaiden, asiakasryhmien ja yhteisöjen osallisuutta ja osallistumisen mahdollisuuksia sekä kykenee yhteiskunnalliseen rakenteelliseen vaikuttamistyöhön </w:t>
            </w:r>
          </w:p>
          <w:p w14:paraId="61F8503F" w14:textId="43FFD759" w:rsidR="00950361" w:rsidRPr="00950361" w:rsidRDefault="00950361" w:rsidP="00024B3A">
            <w:pPr>
              <w:pStyle w:val="Luettelokappale"/>
              <w:numPr>
                <w:ilvl w:val="0"/>
                <w:numId w:val="21"/>
              </w:numPr>
              <w:shd w:val="clear" w:color="auto" w:fill="FFFFFF"/>
              <w:spacing w:after="360" w:line="240" w:lineRule="auto"/>
              <w:textAlignment w:val="baseline"/>
              <w:rPr>
                <w:rFonts w:ascii="Tahoma" w:hAnsi="Tahoma" w:cs="Tahoma"/>
                <w:sz w:val="20"/>
                <w:szCs w:val="20"/>
              </w:rPr>
            </w:pPr>
            <w:r w:rsidRPr="00950361">
              <w:rPr>
                <w:rFonts w:ascii="Tahoma" w:hAnsi="Tahoma" w:cs="Tahoma"/>
                <w:sz w:val="20"/>
                <w:szCs w:val="20"/>
              </w:rPr>
              <w:t>edistää omaehtoista toimijuutta osana kansalaisyhteiskuntaa</w:t>
            </w:r>
          </w:p>
        </w:tc>
      </w:tr>
      <w:tr w:rsidR="00950361" w14:paraId="1239AA22" w14:textId="77777777" w:rsidTr="009C4B1F">
        <w:tc>
          <w:tcPr>
            <w:tcW w:w="3401" w:type="dxa"/>
          </w:tcPr>
          <w:p w14:paraId="10EE1165" w14:textId="77777777" w:rsidR="00950361" w:rsidRPr="00950361" w:rsidRDefault="00950361" w:rsidP="00950361">
            <w:pPr>
              <w:rPr>
                <w:rFonts w:ascii="Tahoma" w:hAnsi="Tahoma" w:cs="Tahoma"/>
                <w:b/>
                <w:bCs/>
                <w:sz w:val="20"/>
                <w:szCs w:val="20"/>
              </w:rPr>
            </w:pPr>
            <w:r w:rsidRPr="00950361">
              <w:rPr>
                <w:rFonts w:ascii="Tahoma" w:hAnsi="Tahoma" w:cs="Tahoma"/>
                <w:b/>
                <w:bCs/>
                <w:sz w:val="20"/>
                <w:szCs w:val="20"/>
              </w:rPr>
              <w:t>Tutkimuksellinen kehittämis- ja innovaatio-osaaminen</w:t>
            </w:r>
          </w:p>
          <w:p w14:paraId="7F314BB4" w14:textId="181E13E1" w:rsidR="00950361" w:rsidRPr="00950361" w:rsidRDefault="00950361" w:rsidP="00950361">
            <w:pPr>
              <w:rPr>
                <w:rFonts w:ascii="Tahoma" w:hAnsi="Tahoma" w:cs="Tahoma"/>
                <w:sz w:val="20"/>
                <w:szCs w:val="20"/>
              </w:rPr>
            </w:pPr>
            <w:proofErr w:type="spellStart"/>
            <w:r w:rsidRPr="00950361">
              <w:rPr>
                <w:rFonts w:ascii="Tahoma" w:hAnsi="Tahoma" w:cs="Tahoma"/>
                <w:b/>
                <w:bCs/>
                <w:sz w:val="20"/>
                <w:szCs w:val="20"/>
              </w:rPr>
              <w:t>Research</w:t>
            </w:r>
            <w:proofErr w:type="spellEnd"/>
            <w:r w:rsidRPr="00950361">
              <w:rPr>
                <w:rFonts w:ascii="Tahoma" w:hAnsi="Tahoma" w:cs="Tahoma"/>
                <w:b/>
                <w:bCs/>
                <w:sz w:val="20"/>
                <w:szCs w:val="20"/>
              </w:rPr>
              <w:t xml:space="preserve"> and </w:t>
            </w:r>
            <w:proofErr w:type="spellStart"/>
            <w:r w:rsidRPr="00950361">
              <w:rPr>
                <w:rFonts w:ascii="Tahoma" w:hAnsi="Tahoma" w:cs="Tahoma"/>
                <w:b/>
                <w:bCs/>
                <w:sz w:val="20"/>
                <w:szCs w:val="20"/>
              </w:rPr>
              <w:t>development</w:t>
            </w:r>
            <w:proofErr w:type="spellEnd"/>
            <w:r w:rsidRPr="00950361">
              <w:rPr>
                <w:rFonts w:ascii="Tahoma" w:hAnsi="Tahoma" w:cs="Tahoma"/>
                <w:b/>
                <w:bCs/>
                <w:sz w:val="20"/>
                <w:szCs w:val="20"/>
              </w:rPr>
              <w:t xml:space="preserve"> </w:t>
            </w:r>
            <w:proofErr w:type="spellStart"/>
            <w:r w:rsidRPr="00950361">
              <w:rPr>
                <w:rFonts w:ascii="Tahoma" w:hAnsi="Tahoma" w:cs="Tahoma"/>
                <w:b/>
                <w:bCs/>
                <w:sz w:val="20"/>
                <w:szCs w:val="20"/>
              </w:rPr>
              <w:t>competence</w:t>
            </w:r>
            <w:proofErr w:type="spellEnd"/>
          </w:p>
        </w:tc>
        <w:tc>
          <w:tcPr>
            <w:tcW w:w="5949" w:type="dxa"/>
          </w:tcPr>
          <w:p w14:paraId="54ED5D74" w14:textId="77777777" w:rsidR="00950361" w:rsidRPr="00950361" w:rsidRDefault="00950361" w:rsidP="00950361">
            <w:pPr>
              <w:shd w:val="clear" w:color="auto" w:fill="FFFFFF"/>
              <w:spacing w:after="360"/>
              <w:textAlignment w:val="baseline"/>
              <w:rPr>
                <w:rFonts w:ascii="Tahoma" w:eastAsia="Times New Roman" w:hAnsi="Tahoma" w:cs="Tahoma"/>
                <w:sz w:val="20"/>
                <w:szCs w:val="20"/>
                <w:lang w:eastAsia="fi-FI"/>
              </w:rPr>
            </w:pPr>
            <w:r w:rsidRPr="00950361">
              <w:rPr>
                <w:rFonts w:ascii="Tahoma" w:eastAsia="Times New Roman" w:hAnsi="Tahoma" w:cs="Tahoma"/>
                <w:sz w:val="20"/>
                <w:szCs w:val="20"/>
                <w:lang w:eastAsia="fi-FI"/>
              </w:rPr>
              <w:t>Sosionomi (AMK)</w:t>
            </w:r>
          </w:p>
          <w:p w14:paraId="31270641"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kykenee ennakoivaan ja innovatiiviseen ongelmanratkaisuun sosiaalialan kehittämisessä </w:t>
            </w:r>
          </w:p>
          <w:p w14:paraId="4127C0A8"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kehittää asiakaslähtöisesti sekä tutkimus- ja kokemustietoa hyödyntäen asiakastyön käytäntöjä, menetelmiä ja palveluprosesseja </w:t>
            </w:r>
          </w:p>
          <w:p w14:paraId="2D16CD17"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suunnittelee, toteuttaa ja arvioi sosiaalialan kehittämishankkeita yhteistyössä eri toimijoiden kanssa </w:t>
            </w:r>
          </w:p>
          <w:p w14:paraId="5EC6BFF3"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soveltaa tutkimus-, kehittämis- ja innovaatiomenetelmiä sekä tuottaa ja analysoi tietoa hyvinvoinnin edistämiseksi </w:t>
            </w:r>
          </w:p>
          <w:p w14:paraId="6CBC6348" w14:textId="09BEA9E4" w:rsidR="00950361" w:rsidRPr="00950361" w:rsidRDefault="00950361" w:rsidP="00950361">
            <w:pPr>
              <w:pStyle w:val="Luettelokappale"/>
              <w:numPr>
                <w:ilvl w:val="0"/>
                <w:numId w:val="21"/>
              </w:numPr>
              <w:rPr>
                <w:rFonts w:ascii="Tahoma" w:hAnsi="Tahoma" w:cs="Tahoma"/>
                <w:sz w:val="20"/>
                <w:szCs w:val="20"/>
              </w:rPr>
            </w:pPr>
            <w:r w:rsidRPr="00950361">
              <w:rPr>
                <w:rFonts w:ascii="Tahoma" w:hAnsi="Tahoma" w:cs="Tahoma"/>
                <w:sz w:val="20"/>
                <w:szCs w:val="20"/>
              </w:rPr>
              <w:t>toimii tutkimus-, kehittämis- ja innovaatiotyössä kestävän kehityksen ja tutkimuseettisten periaatteiden ja ohjeiden mukaisesti</w:t>
            </w:r>
          </w:p>
        </w:tc>
      </w:tr>
      <w:tr w:rsidR="00950361" w14:paraId="3FE9CCF6" w14:textId="77777777" w:rsidTr="009C4B1F">
        <w:tc>
          <w:tcPr>
            <w:tcW w:w="3401" w:type="dxa"/>
          </w:tcPr>
          <w:p w14:paraId="4E12CEED" w14:textId="77777777" w:rsidR="00950361" w:rsidRPr="00950361" w:rsidRDefault="00950361" w:rsidP="00950361">
            <w:pPr>
              <w:rPr>
                <w:rFonts w:ascii="Tahoma" w:hAnsi="Tahoma" w:cs="Tahoma"/>
                <w:b/>
                <w:bCs/>
                <w:sz w:val="20"/>
                <w:szCs w:val="20"/>
              </w:rPr>
            </w:pPr>
            <w:r w:rsidRPr="00950361">
              <w:rPr>
                <w:rFonts w:ascii="Tahoma" w:hAnsi="Tahoma" w:cs="Tahoma"/>
                <w:b/>
                <w:bCs/>
                <w:sz w:val="20"/>
                <w:szCs w:val="20"/>
              </w:rPr>
              <w:t>Työyhteisö-, johtamis- ja yrittäjyysosaaminen</w:t>
            </w:r>
          </w:p>
          <w:p w14:paraId="4F50EFDF" w14:textId="656B4B63" w:rsidR="00950361" w:rsidRPr="00950361" w:rsidRDefault="00950361" w:rsidP="00950361">
            <w:pPr>
              <w:rPr>
                <w:rFonts w:ascii="Tahoma" w:hAnsi="Tahoma" w:cs="Tahoma"/>
                <w:b/>
                <w:bCs/>
                <w:sz w:val="20"/>
                <w:szCs w:val="20"/>
              </w:rPr>
            </w:pPr>
            <w:r w:rsidRPr="00950361">
              <w:rPr>
                <w:rFonts w:ascii="Tahoma" w:hAnsi="Tahoma" w:cs="Tahoma"/>
                <w:b/>
                <w:bCs/>
                <w:sz w:val="20"/>
                <w:szCs w:val="20"/>
              </w:rPr>
              <w:t xml:space="preserve">Management </w:t>
            </w:r>
            <w:proofErr w:type="spellStart"/>
            <w:r w:rsidRPr="00950361">
              <w:rPr>
                <w:rFonts w:ascii="Tahoma" w:hAnsi="Tahoma" w:cs="Tahoma"/>
                <w:b/>
                <w:bCs/>
                <w:sz w:val="20"/>
                <w:szCs w:val="20"/>
              </w:rPr>
              <w:t>c</w:t>
            </w:r>
            <w:r w:rsidR="00024B3A">
              <w:rPr>
                <w:rFonts w:ascii="Tahoma" w:hAnsi="Tahoma" w:cs="Tahoma"/>
                <w:b/>
                <w:bCs/>
                <w:sz w:val="20"/>
                <w:szCs w:val="20"/>
              </w:rPr>
              <w:t>o</w:t>
            </w:r>
            <w:r w:rsidRPr="00950361">
              <w:rPr>
                <w:rFonts w:ascii="Tahoma" w:hAnsi="Tahoma" w:cs="Tahoma"/>
                <w:b/>
                <w:bCs/>
                <w:sz w:val="20"/>
                <w:szCs w:val="20"/>
              </w:rPr>
              <w:t>mpetence</w:t>
            </w:r>
            <w:proofErr w:type="spellEnd"/>
          </w:p>
        </w:tc>
        <w:tc>
          <w:tcPr>
            <w:tcW w:w="5949" w:type="dxa"/>
          </w:tcPr>
          <w:p w14:paraId="08C9829E" w14:textId="77777777" w:rsidR="00950361" w:rsidRPr="00950361" w:rsidRDefault="00950361" w:rsidP="00950361">
            <w:pPr>
              <w:shd w:val="clear" w:color="auto" w:fill="FFFFFF"/>
              <w:spacing w:after="360"/>
              <w:textAlignment w:val="baseline"/>
              <w:rPr>
                <w:rFonts w:ascii="Tahoma" w:eastAsia="Times New Roman" w:hAnsi="Tahoma" w:cs="Tahoma"/>
                <w:sz w:val="20"/>
                <w:szCs w:val="20"/>
                <w:lang w:eastAsia="fi-FI"/>
              </w:rPr>
            </w:pPr>
            <w:r w:rsidRPr="00950361">
              <w:rPr>
                <w:rFonts w:ascii="Tahoma" w:eastAsia="Times New Roman" w:hAnsi="Tahoma" w:cs="Tahoma"/>
                <w:sz w:val="20"/>
                <w:szCs w:val="20"/>
                <w:lang w:eastAsia="fi-FI"/>
              </w:rPr>
              <w:t>Sosionomi (AMK)</w:t>
            </w:r>
          </w:p>
          <w:p w14:paraId="35A48A2B"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toimii monialaisissa tiimeissä ja työyhteisöissä sekä tunnistaa alueellisten, kansallisten ja kansainvälisten verkostojen mahdollisuudet </w:t>
            </w:r>
          </w:p>
          <w:p w14:paraId="045551E4"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lastRenderedPageBreak/>
              <w:t xml:space="preserve">työskentelee työyhteisön esihenkilönä ja jäsenenä sosiaalisesti, eettisesti, ekologisesti ja taloudellisesti kestävällä tavalla </w:t>
            </w:r>
          </w:p>
          <w:p w14:paraId="58334921"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tuntee keskeisen työlainsäädännön ja edistää omaa ja työyhteisön työhyvinvointia ja työturvallisuutta - tunnistaa itsensä johtamisen ja työyhteisön johtamisen merkityksen osana työn hallintaa ja organisointia sekä oman asiantuntijuuden kehittymistä ja urasuunnittelua </w:t>
            </w:r>
          </w:p>
          <w:p w14:paraId="428964C2"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arvioi työn laatua ja tuloksia sekä ymmärtää strategian sekä talous-, tieto- ja henkilöstöjohtamisen merkityksen organisaation toiminnassa </w:t>
            </w:r>
          </w:p>
          <w:p w14:paraId="121EBA9D" w14:textId="2BEB444A" w:rsidR="00950361" w:rsidRPr="00950361" w:rsidRDefault="00950361" w:rsidP="00950361">
            <w:pPr>
              <w:pStyle w:val="Luettelokappale"/>
              <w:numPr>
                <w:ilvl w:val="0"/>
                <w:numId w:val="21"/>
              </w:numPr>
              <w:rPr>
                <w:rFonts w:ascii="Tahoma" w:hAnsi="Tahoma" w:cs="Tahoma"/>
                <w:sz w:val="20"/>
                <w:szCs w:val="20"/>
              </w:rPr>
            </w:pPr>
            <w:r w:rsidRPr="00950361">
              <w:rPr>
                <w:rFonts w:ascii="Tahoma" w:hAnsi="Tahoma" w:cs="Tahoma"/>
                <w:sz w:val="20"/>
                <w:szCs w:val="20"/>
              </w:rPr>
              <w:t>osoittaa yrittäjämäistä asennetta ja tuntee sosiaalialan yritystoiminnan periaatteet</w:t>
            </w:r>
          </w:p>
        </w:tc>
      </w:tr>
    </w:tbl>
    <w:p w14:paraId="3F17315B" w14:textId="77CD4925" w:rsidR="009C4B1F" w:rsidRDefault="009C4B1F" w:rsidP="61205BC3">
      <w:pPr>
        <w:jc w:val="both"/>
        <w:rPr>
          <w:rFonts w:cs="Calibri"/>
          <w:b/>
          <w:bCs/>
          <w:color w:val="FF0000"/>
          <w:sz w:val="24"/>
          <w:szCs w:val="24"/>
          <w:lang w:val="fi"/>
        </w:rPr>
      </w:pPr>
    </w:p>
    <w:p w14:paraId="197C0F86" w14:textId="77777777" w:rsidR="009C4B1F" w:rsidRDefault="009C4B1F" w:rsidP="61205BC3">
      <w:pPr>
        <w:jc w:val="both"/>
        <w:rPr>
          <w:rFonts w:cs="Calibri"/>
          <w:b/>
          <w:bCs/>
          <w:color w:val="FF0000"/>
          <w:sz w:val="24"/>
          <w:szCs w:val="24"/>
          <w:lang w:val="fi"/>
        </w:rPr>
      </w:pPr>
    </w:p>
    <w:sectPr w:rsidR="009C4B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17095E2D"/>
    <w:multiLevelType w:val="multilevel"/>
    <w:tmpl w:val="694A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C468A0"/>
    <w:multiLevelType w:val="multilevel"/>
    <w:tmpl w:val="111C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7A135B"/>
    <w:multiLevelType w:val="multilevel"/>
    <w:tmpl w:val="6A7E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7"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8"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9"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10"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11"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2"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3"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4"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5" w15:restartNumberingAfterBreak="0">
    <w:nsid w:val="42CB386D"/>
    <w:multiLevelType w:val="multilevel"/>
    <w:tmpl w:val="F8D6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7"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8" w15:restartNumberingAfterBreak="0">
    <w:nsid w:val="50E47602"/>
    <w:multiLevelType w:val="multilevel"/>
    <w:tmpl w:val="0052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901AC"/>
    <w:multiLevelType w:val="multilevel"/>
    <w:tmpl w:val="AB28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1"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2"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3"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16cid:durableId="95028431">
    <w:abstractNumId w:val="21"/>
  </w:num>
  <w:num w:numId="2" w16cid:durableId="1954051004">
    <w:abstractNumId w:val="7"/>
  </w:num>
  <w:num w:numId="3" w16cid:durableId="1697460884">
    <w:abstractNumId w:val="10"/>
  </w:num>
  <w:num w:numId="4" w16cid:durableId="340008395">
    <w:abstractNumId w:val="14"/>
  </w:num>
  <w:num w:numId="5" w16cid:durableId="1864513552">
    <w:abstractNumId w:val="8"/>
  </w:num>
  <w:num w:numId="6" w16cid:durableId="1468549282">
    <w:abstractNumId w:val="20"/>
  </w:num>
  <w:num w:numId="7" w16cid:durableId="1658996071">
    <w:abstractNumId w:val="0"/>
  </w:num>
  <w:num w:numId="8" w16cid:durableId="418215415">
    <w:abstractNumId w:val="13"/>
  </w:num>
  <w:num w:numId="9" w16cid:durableId="1262834493">
    <w:abstractNumId w:val="6"/>
  </w:num>
  <w:num w:numId="10" w16cid:durableId="1225334777">
    <w:abstractNumId w:val="11"/>
  </w:num>
  <w:num w:numId="11" w16cid:durableId="1255745437">
    <w:abstractNumId w:val="22"/>
  </w:num>
  <w:num w:numId="12" w16cid:durableId="1207372523">
    <w:abstractNumId w:val="17"/>
  </w:num>
  <w:num w:numId="13" w16cid:durableId="1240552912">
    <w:abstractNumId w:val="1"/>
  </w:num>
  <w:num w:numId="14" w16cid:durableId="432432840">
    <w:abstractNumId w:val="2"/>
  </w:num>
  <w:num w:numId="15" w16cid:durableId="165097272">
    <w:abstractNumId w:val="16"/>
  </w:num>
  <w:num w:numId="16" w16cid:durableId="1747993306">
    <w:abstractNumId w:val="9"/>
  </w:num>
  <w:num w:numId="17" w16cid:durableId="21325284">
    <w:abstractNumId w:val="12"/>
  </w:num>
  <w:num w:numId="18" w16cid:durableId="810361887">
    <w:abstractNumId w:val="23"/>
  </w:num>
  <w:num w:numId="19" w16cid:durableId="162746703">
    <w:abstractNumId w:val="19"/>
  </w:num>
  <w:num w:numId="20" w16cid:durableId="828054973">
    <w:abstractNumId w:val="18"/>
  </w:num>
  <w:num w:numId="21" w16cid:durableId="1748763482">
    <w:abstractNumId w:val="15"/>
  </w:num>
  <w:num w:numId="22" w16cid:durableId="972441371">
    <w:abstractNumId w:val="4"/>
  </w:num>
  <w:num w:numId="23" w16cid:durableId="1497333324">
    <w:abstractNumId w:val="3"/>
  </w:num>
  <w:num w:numId="24" w16cid:durableId="1099368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24B3A"/>
    <w:rsid w:val="00056A2D"/>
    <w:rsid w:val="0028498F"/>
    <w:rsid w:val="005A464B"/>
    <w:rsid w:val="005B457C"/>
    <w:rsid w:val="006611F2"/>
    <w:rsid w:val="00707DD7"/>
    <w:rsid w:val="00906322"/>
    <w:rsid w:val="00950361"/>
    <w:rsid w:val="009C4B1F"/>
    <w:rsid w:val="00A40199"/>
    <w:rsid w:val="00B153D5"/>
    <w:rsid w:val="00BE08D7"/>
    <w:rsid w:val="00BF64E6"/>
    <w:rsid w:val="00DB4D50"/>
    <w:rsid w:val="00F96DBC"/>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styleId="Seliteteksti">
    <w:name w:val="Balloon Text"/>
    <w:basedOn w:val="Normaali"/>
    <w:link w:val="SelitetekstiChar"/>
    <w:uiPriority w:val="99"/>
    <w:semiHidden/>
    <w:unhideWhenUsed/>
    <w:rsid w:val="00707DD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07DD7"/>
    <w:rPr>
      <w:rFonts w:ascii="Segoe UI" w:eastAsia="Calibri" w:hAnsi="Segoe UI" w:cs="Segoe UI"/>
      <w:sz w:val="18"/>
      <w:szCs w:val="1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FC2A8-4E36-42E7-80D4-9FFEAB901525}">
  <ds:schemaRefs>
    <ds:schemaRef ds:uri="d7d571cd-4a35-464f-828c-ffa93fe25e1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c8954cf-07f3-412a-b26c-f20726d698a6"/>
    <ds:schemaRef ds:uri="http://www.w3.org/XML/1998/namespace"/>
  </ds:schemaRefs>
</ds:datastoreItem>
</file>

<file path=customXml/itemProps2.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3.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1064</Words>
  <Characters>8622</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Taina Moilanen</cp:lastModifiedBy>
  <cp:revision>4</cp:revision>
  <cp:lastPrinted>2023-02-21T11:46:00Z</cp:lastPrinted>
  <dcterms:created xsi:type="dcterms:W3CDTF">2023-05-26T09:27:00Z</dcterms:created>
  <dcterms:modified xsi:type="dcterms:W3CDTF">2023-10-30T06:08:00Z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