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5AB0E" w14:textId="77777777" w:rsidR="00B8370C" w:rsidRDefault="00F26859">
      <w:pPr>
        <w:rPr>
          <w:rFonts w:ascii="Tahoma" w:hAnsi="Tahoma" w:cs="Tahoma"/>
          <w:b/>
          <w:bCs/>
          <w:sz w:val="24"/>
          <w:szCs w:val="24"/>
        </w:rPr>
      </w:pPr>
      <w:r w:rsidRPr="00F26859">
        <w:rPr>
          <w:rFonts w:ascii="Tahoma" w:hAnsi="Tahoma" w:cs="Tahoma"/>
          <w:b/>
          <w:bCs/>
          <w:sz w:val="24"/>
          <w:szCs w:val="24"/>
        </w:rPr>
        <w:t>Opintojen rakenne</w:t>
      </w:r>
    </w:p>
    <w:p w14:paraId="066485B1" w14:textId="025BA7EC" w:rsidR="00F26859" w:rsidRPr="00F26859" w:rsidRDefault="00F26859">
      <w:pPr>
        <w:rPr>
          <w:rFonts w:ascii="Tahoma" w:hAnsi="Tahoma" w:cs="Tahoma"/>
          <w:sz w:val="20"/>
          <w:szCs w:val="20"/>
        </w:rPr>
      </w:pPr>
      <w:r w:rsidRPr="00F26859">
        <w:rPr>
          <w:rFonts w:ascii="Tahoma" w:hAnsi="Tahoma" w:cs="Tahoma"/>
          <w:color w:val="444444"/>
          <w:sz w:val="20"/>
          <w:szCs w:val="20"/>
        </w:rPr>
        <w:t>Sairaanhoitajan opinnot sisältyvät terveydenhoitajan opintoihin.</w:t>
      </w:r>
      <w:r w:rsidRPr="00F26859">
        <w:rPr>
          <w:rFonts w:ascii="Tahoma" w:hAnsi="Tahoma" w:cs="Tahoma"/>
          <w:color w:val="444444"/>
          <w:sz w:val="20"/>
          <w:szCs w:val="20"/>
        </w:rPr>
        <w:br/>
        <w:t>Terveydenhoitajan opinnot ovat 240 opintopistettä. 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47"/>
        <w:gridCol w:w="6691"/>
      </w:tblGrid>
      <w:tr w:rsidR="00F26859" w:rsidRPr="005F28D6" w14:paraId="01B55869" w14:textId="77777777" w:rsidTr="00B8370C">
        <w:tc>
          <w:tcPr>
            <w:tcW w:w="1985" w:type="dxa"/>
            <w:shd w:val="clear" w:color="auto" w:fill="31A3B5"/>
          </w:tcPr>
          <w:p w14:paraId="7DBD5B70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31A3B5"/>
          </w:tcPr>
          <w:p w14:paraId="6469DAF6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691" w:type="dxa"/>
            <w:shd w:val="clear" w:color="auto" w:fill="31A3B5"/>
          </w:tcPr>
          <w:p w14:paraId="4C01F232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F26859" w:rsidRPr="00264747" w14:paraId="0CCB9C25" w14:textId="77777777" w:rsidTr="00B8370C">
        <w:trPr>
          <w:trHeight w:val="1244"/>
        </w:trPr>
        <w:tc>
          <w:tcPr>
            <w:tcW w:w="1985" w:type="dxa"/>
          </w:tcPr>
          <w:p w14:paraId="250D6B5E" w14:textId="4526BF1F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Perusopinnot </w:t>
            </w:r>
          </w:p>
        </w:tc>
        <w:tc>
          <w:tcPr>
            <w:tcW w:w="1247" w:type="dxa"/>
          </w:tcPr>
          <w:p w14:paraId="0EDCC9F9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30 op</w:t>
            </w:r>
          </w:p>
        </w:tc>
        <w:tc>
          <w:tcPr>
            <w:tcW w:w="6691" w:type="dxa"/>
          </w:tcPr>
          <w:p w14:paraId="473D1140" w14:textId="77777777" w:rsidR="00F26859" w:rsidRPr="00264747" w:rsidRDefault="00F26859" w:rsidP="001D286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264747">
              <w:rPr>
                <w:rFonts w:ascii="Tahoma" w:hAnsi="Tahoma" w:cs="Tahoma"/>
                <w:iCs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kehittymiselle.</w:t>
            </w:r>
          </w:p>
        </w:tc>
      </w:tr>
      <w:tr w:rsidR="00F26859" w:rsidRPr="005F28D6" w14:paraId="554BF4AD" w14:textId="77777777" w:rsidTr="00B8370C">
        <w:trPr>
          <w:trHeight w:val="3885"/>
        </w:trPr>
        <w:tc>
          <w:tcPr>
            <w:tcW w:w="1985" w:type="dxa"/>
          </w:tcPr>
          <w:p w14:paraId="7A31ED63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Ammattiopinnot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, teoria ja harjoittelu</w:t>
            </w:r>
          </w:p>
        </w:tc>
        <w:tc>
          <w:tcPr>
            <w:tcW w:w="1247" w:type="dxa"/>
          </w:tcPr>
          <w:p w14:paraId="686CE6C6" w14:textId="77777777" w:rsidR="00F26859" w:rsidRPr="005F28D6" w:rsidRDefault="00F26859" w:rsidP="001D2865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14:paraId="34DE24DA" w14:textId="77777777" w:rsidR="00F26859" w:rsidRPr="005F28D6" w:rsidRDefault="00F26859" w:rsidP="001D2865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135 op</w:t>
            </w:r>
          </w:p>
        </w:tc>
        <w:tc>
          <w:tcPr>
            <w:tcW w:w="6691" w:type="dxa"/>
          </w:tcPr>
          <w:p w14:paraId="4938A0C0" w14:textId="77777777" w:rsidR="00F26859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Ammattiopinnoissa opis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kelija perehtyy 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>sairaanhoitajan tehtäväalueen keskeisiin ongelmakokonaisuuksiin ja sovellutuksiin sekä niiden tieteellisiin perusteisiin, jotta hän kykenee valmistuttuaan työskentele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mään itsenäisesti 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>hoitotyön asiantuntijana, esimiestehtävissä, kehitystehtävissä ja yrittäjänä.</w:t>
            </w:r>
          </w:p>
          <w:p w14:paraId="1C7BD2A0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Harjoittelu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i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ssa opiskelija perehtyy käytännön työtoimintaan ja hankkii valmiuksia erilaisten toimintatapojen ja työmenetelmien valintaan, käyttöön ja soveltamiseen.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 xml:space="preserve"> 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Harjoittelu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i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ssa opitaan myös kehittämään asiakas- ja työelämälähtöisesti uusia ratkaisuja ja toiminnan laatua.  Harjoittelu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t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 xml:space="preserve"> valmenta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v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a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t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 xml:space="preserve"> työelämän vaatimuksiin ammatillista osaamista syventämällä sekä autta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v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>a</w:t>
            </w:r>
            <w:r>
              <w:rPr>
                <w:rFonts w:ascii="Tahoma" w:eastAsia="Calibri" w:hAnsi="Tahoma" w:cs="Tahoma"/>
                <w:iCs/>
                <w:sz w:val="20"/>
                <w:szCs w:val="20"/>
              </w:rPr>
              <w:t>t</w:t>
            </w:r>
            <w:r w:rsidRPr="005F28D6">
              <w:rPr>
                <w:rFonts w:ascii="Tahoma" w:eastAsia="Calibri" w:hAnsi="Tahoma" w:cs="Tahoma"/>
                <w:iCs/>
                <w:sz w:val="20"/>
                <w:szCs w:val="20"/>
              </w:rPr>
              <w:t xml:space="preserve"> työllistymään koulutusalaa ja suuntautumista vastaaviin tehtäviin.</w:t>
            </w:r>
          </w:p>
        </w:tc>
      </w:tr>
      <w:tr w:rsidR="00F26859" w:rsidRPr="005F28D6" w14:paraId="0D40F637" w14:textId="77777777" w:rsidTr="00B8370C">
        <w:tc>
          <w:tcPr>
            <w:tcW w:w="1985" w:type="dxa"/>
          </w:tcPr>
          <w:p w14:paraId="5DF685A9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Opinnäytetyö</w:t>
            </w:r>
          </w:p>
          <w:p w14:paraId="5572850D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247" w:type="dxa"/>
          </w:tcPr>
          <w:p w14:paraId="256729B4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15 op</w:t>
            </w:r>
          </w:p>
        </w:tc>
        <w:tc>
          <w:tcPr>
            <w:tcW w:w="6691" w:type="dxa"/>
          </w:tcPr>
          <w:p w14:paraId="01B79A0A" w14:textId="77777777" w:rsidR="00F26859" w:rsidRPr="005F28D6" w:rsidRDefault="00F26859" w:rsidP="001D2865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samalla kun prosessi syventää hänen asiantuntijuuttaan valitussa aiheessa.  Opinnäytetyöt voivat olla tutkimuksellisia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 tai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 xml:space="preserve"> toiminnallisia. Opinnäytetyön tekemisessä opiskelija vastaa</w:t>
            </w:r>
          </w:p>
          <w:p w14:paraId="7B9D1538" w14:textId="77777777" w:rsidR="00F26859" w:rsidRPr="005F28D6" w:rsidRDefault="00F26859" w:rsidP="001D2865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opinnäytetyöidean ja työelämäyhteyden hakemisesta</w:t>
            </w:r>
          </w:p>
          <w:p w14:paraId="54441043" w14:textId="77777777" w:rsidR="00F26859" w:rsidRPr="005F28D6" w:rsidRDefault="00F26859" w:rsidP="001D2865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opinnäytetyön tehtäväalueeseen perehtymisestä ja tehtävän asettamisesta</w:t>
            </w:r>
          </w:p>
          <w:p w14:paraId="5230C21D" w14:textId="77777777" w:rsidR="00F26859" w:rsidRPr="005F28D6" w:rsidRDefault="00F26859" w:rsidP="001D2865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asetetun tehtävän suorittamisesta ja raportoinnista</w:t>
            </w:r>
          </w:p>
          <w:p w14:paraId="3393C254" w14:textId="77777777" w:rsidR="00F26859" w:rsidRPr="005F28D6" w:rsidRDefault="00F26859" w:rsidP="001D2865">
            <w:pPr>
              <w:numPr>
                <w:ilvl w:val="1"/>
                <w:numId w:val="1"/>
              </w:numPr>
              <w:spacing w:before="120" w:after="120" w:line="240" w:lineRule="auto"/>
              <w:ind w:left="527" w:hanging="357"/>
              <w:contextualSpacing/>
              <w:rPr>
                <w:rFonts w:ascii="Tahoma" w:eastAsia="Calibri" w:hAnsi="Tahoma" w:cs="Tahoma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opinnäytetyön viimeistelystä ja tiedotusmateriaalin laatimisesta.</w:t>
            </w:r>
          </w:p>
          <w:p w14:paraId="4692EAA7" w14:textId="77777777" w:rsidR="00F26859" w:rsidRPr="005F28D6" w:rsidRDefault="00F26859" w:rsidP="001D2865">
            <w:pPr>
              <w:spacing w:after="0" w:line="240" w:lineRule="auto"/>
              <w:contextualSpacing/>
              <w:rPr>
                <w:rFonts w:ascii="Tahoma" w:eastAsia="Calibri" w:hAnsi="Tahoma" w:cs="Tahoma"/>
                <w:color w:val="4BACC6"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sz w:val="20"/>
                <w:szCs w:val="20"/>
              </w:rPr>
              <w:t>Opinnäytetyö tarjoaa joustavan portin siirtyä työelämään ja hyvän mahdollisuuden verko</w:t>
            </w:r>
            <w:r>
              <w:rPr>
                <w:rFonts w:ascii="Tahoma" w:eastAsia="Calibri" w:hAnsi="Tahoma" w:cs="Tahoma"/>
                <w:sz w:val="20"/>
                <w:szCs w:val="20"/>
              </w:rPr>
              <w:t>s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>t</w:t>
            </w:r>
            <w:r>
              <w:rPr>
                <w:rFonts w:ascii="Tahoma" w:eastAsia="Calibri" w:hAnsi="Tahoma" w:cs="Tahoma"/>
                <w:sz w:val="20"/>
                <w:szCs w:val="20"/>
              </w:rPr>
              <w:t>oi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>tua omalla alalla.</w:t>
            </w:r>
          </w:p>
        </w:tc>
      </w:tr>
      <w:tr w:rsidR="00F26859" w:rsidRPr="00673C2D" w14:paraId="2032BBB3" w14:textId="77777777" w:rsidTr="00B8370C">
        <w:tc>
          <w:tcPr>
            <w:tcW w:w="1985" w:type="dxa"/>
          </w:tcPr>
          <w:p w14:paraId="103264E4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Syventävät opinnot</w:t>
            </w:r>
          </w:p>
        </w:tc>
        <w:tc>
          <w:tcPr>
            <w:tcW w:w="1247" w:type="dxa"/>
          </w:tcPr>
          <w:p w14:paraId="7855282F" w14:textId="77777777" w:rsidR="00F26859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60 op</w:t>
            </w:r>
          </w:p>
        </w:tc>
        <w:tc>
          <w:tcPr>
            <w:tcW w:w="6691" w:type="dxa"/>
          </w:tcPr>
          <w:p w14:paraId="75F39D77" w14:textId="77777777" w:rsidR="00F26859" w:rsidRDefault="00F26859" w:rsidP="001D286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Terveydenhoitajatyön syventävissä opinnoissa opiskelija oppii soveltamaa laaja-alaisesti eri-ikäisten terveydenhoitajatyön, terveydenedistämisen, ennaltaehkäisevän työn, kansanterveystyön ja perusterveydenhuollon osaamista. </w:t>
            </w:r>
          </w:p>
          <w:p w14:paraId="1DECCAF4" w14:textId="77777777" w:rsidR="00F26859" w:rsidRPr="00673C2D" w:rsidRDefault="00F26859" w:rsidP="001D2865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Syventävät opinnot sisältävät teoriaopintoja (30 op) sekä terveydenhoitajatyön harjoittelua (30 op).</w:t>
            </w:r>
          </w:p>
        </w:tc>
      </w:tr>
      <w:tr w:rsidR="00F26859" w:rsidRPr="005F28D6" w14:paraId="62364976" w14:textId="77777777" w:rsidTr="00B8370C">
        <w:tc>
          <w:tcPr>
            <w:tcW w:w="1985" w:type="dxa"/>
          </w:tcPr>
          <w:p w14:paraId="55577953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5F28D6">
              <w:rPr>
                <w:rFonts w:ascii="Tahoma" w:eastAsia="Calibri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247" w:type="dxa"/>
          </w:tcPr>
          <w:p w14:paraId="17D640F1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240</w:t>
            </w:r>
            <w:r w:rsidRPr="005F28D6">
              <w:rPr>
                <w:rFonts w:ascii="Tahoma" w:eastAsia="Calibri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691" w:type="dxa"/>
          </w:tcPr>
          <w:p w14:paraId="11862496" w14:textId="77777777" w:rsidR="00F26859" w:rsidRPr="005F28D6" w:rsidRDefault="00F26859" w:rsidP="001D2865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43BB2669" w14:textId="77777777" w:rsidR="00F26859" w:rsidRPr="005F28D6" w:rsidRDefault="00F26859">
      <w:pPr>
        <w:rPr>
          <w:rFonts w:ascii="Tahoma" w:hAnsi="Tahoma" w:cs="Tahoma"/>
          <w:sz w:val="20"/>
          <w:szCs w:val="20"/>
        </w:rPr>
      </w:pPr>
    </w:p>
    <w:sectPr w:rsidR="00F26859" w:rsidRPr="005F28D6" w:rsidSect="00B837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D7CCA"/>
    <w:multiLevelType w:val="hybridMultilevel"/>
    <w:tmpl w:val="2504862A"/>
    <w:lvl w:ilvl="0" w:tplc="6C96562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B6ABA"/>
    <w:multiLevelType w:val="hybridMultilevel"/>
    <w:tmpl w:val="5C5CB6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74"/>
    <w:rsid w:val="00094099"/>
    <w:rsid w:val="000A45E5"/>
    <w:rsid w:val="000D7343"/>
    <w:rsid w:val="000E00DB"/>
    <w:rsid w:val="000E2CDB"/>
    <w:rsid w:val="00163C91"/>
    <w:rsid w:val="00184E24"/>
    <w:rsid w:val="00264747"/>
    <w:rsid w:val="002B1B94"/>
    <w:rsid w:val="002F6CFF"/>
    <w:rsid w:val="004139EB"/>
    <w:rsid w:val="004421A6"/>
    <w:rsid w:val="004B2ECA"/>
    <w:rsid w:val="00586014"/>
    <w:rsid w:val="005D41BF"/>
    <w:rsid w:val="005F28D6"/>
    <w:rsid w:val="00601DFE"/>
    <w:rsid w:val="00630D43"/>
    <w:rsid w:val="00653FE0"/>
    <w:rsid w:val="00673C2D"/>
    <w:rsid w:val="00696DE7"/>
    <w:rsid w:val="007300B8"/>
    <w:rsid w:val="00733137"/>
    <w:rsid w:val="007972CC"/>
    <w:rsid w:val="00827C7E"/>
    <w:rsid w:val="0085160F"/>
    <w:rsid w:val="008D0574"/>
    <w:rsid w:val="009044CD"/>
    <w:rsid w:val="00A11082"/>
    <w:rsid w:val="00A15669"/>
    <w:rsid w:val="00B8370C"/>
    <w:rsid w:val="00BD5670"/>
    <w:rsid w:val="00C9114E"/>
    <w:rsid w:val="00D32823"/>
    <w:rsid w:val="00D36940"/>
    <w:rsid w:val="00DD2B1A"/>
    <w:rsid w:val="00E3784C"/>
    <w:rsid w:val="00E9731D"/>
    <w:rsid w:val="00F177FA"/>
    <w:rsid w:val="00F26859"/>
    <w:rsid w:val="00FC7B0E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0227"/>
  <w15:docId w15:val="{DE1151DD-07B3-4EC6-B6DF-1BB57BA9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05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SAVONIA-618487683-29</_dlc_DocId>
    <_dlc_DocIdUrl xmlns="03ca75a4-7525-4fd0-b461-2a607204cfe9">
      <Url>https://santra.savonia.fi/tiimit/hyvin/sairaanhoitajatensihoitajat/_layouts/DocIdRedir.aspx?ID=SAVONIA-618487683-29</Url>
      <Description>SAVONIA-618487683-29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7BA4A-2F6B-4EF8-8394-896852C9D867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2.xml><?xml version="1.0" encoding="utf-8"?>
<ds:datastoreItem xmlns:ds="http://schemas.openxmlformats.org/officeDocument/2006/customXml" ds:itemID="{B52628B9-21D1-4D23-B605-11FD4F705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82E124-56EB-4B8D-B2F0-2B758897E1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2421F1-674F-4C1B-9E83-0106E868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Päivi Smahl</dc:creator>
  <cp:lastModifiedBy>Taina Moilanen</cp:lastModifiedBy>
  <cp:revision>3</cp:revision>
  <cp:lastPrinted>2022-08-17T05:51:00Z</cp:lastPrinted>
  <dcterms:created xsi:type="dcterms:W3CDTF">2022-08-17T05:46:00Z</dcterms:created>
  <dcterms:modified xsi:type="dcterms:W3CDTF">2022-08-17T06:00:00Z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3cbc81a8-86e5-406d-b55f-7221b77b43de</vt:lpwstr>
  </property>
  <property fmtid="{D5CDD505-2E9C-101B-9397-08002B2CF9AE}" pid="4" name="Asiasanat">
    <vt:lpwstr/>
  </property>
</Properties>
</file>