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792F8162" w:rsidR="00EA3FAF" w:rsidRPr="00906322" w:rsidRDefault="00695916" w:rsidP="00EA3FAF">
      <w:pPr>
        <w:spacing w:line="360" w:lineRule="auto"/>
        <w:rPr>
          <w:rFonts w:ascii="Tahoma" w:hAnsi="Tahoma" w:cs="Tahoma"/>
          <w:b/>
          <w:bCs/>
          <w:color w:val="000000" w:themeColor="text1"/>
        </w:rPr>
      </w:pPr>
      <w:r>
        <w:rPr>
          <w:rFonts w:ascii="Tahoma" w:eastAsia="Tahoma" w:hAnsi="Tahoma" w:cs="Tahoma"/>
          <w:sz w:val="20"/>
          <w:szCs w:val="20"/>
        </w:rPr>
        <w:t>Suuhygienistin</w:t>
      </w:r>
      <w:r w:rsidR="00EA3FAF" w:rsidRPr="513A8252">
        <w:rPr>
          <w:rFonts w:ascii="Tahoma" w:eastAsia="Tahoma" w:hAnsi="Tahoma" w:cs="Tahoma"/>
          <w:sz w:val="20"/>
          <w:szCs w:val="20"/>
        </w:rPr>
        <w:t xml:space="preserve"> koulutus on eurooppalaista ja suomalaista tasoa 6 (</w:t>
      </w:r>
      <w:hyperlink r:id="rId9">
        <w:r w:rsidR="00EA3FAF" w:rsidRPr="513A8252">
          <w:rPr>
            <w:rStyle w:val="Hyperlinkki"/>
            <w:rFonts w:ascii="Tahoma" w:eastAsia="Tahoma" w:hAnsi="Tahoma" w:cs="Tahoma"/>
            <w:sz w:val="20"/>
            <w:szCs w:val="20"/>
          </w:rPr>
          <w:t>Kansallinen viitekehys</w:t>
        </w:r>
      </w:hyperlink>
      <w:r w:rsidR="00EA3FAF"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5327FF43"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407883CF" w14:textId="77777777" w:rsidR="00685F5F" w:rsidRPr="00685F5F" w:rsidRDefault="00685F5F" w:rsidP="00685F5F">
      <w:pPr>
        <w:rPr>
          <w:rFonts w:eastAsia="Tahoma"/>
          <w:lang w:val="fi"/>
        </w:rPr>
      </w:pPr>
    </w:p>
    <w:p w14:paraId="7FABE4AF" w14:textId="5CC67C73" w:rsidR="00EA3FAF" w:rsidRDefault="00695916"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Suuhygienistin</w:t>
      </w:r>
      <w:r w:rsidR="00EA3FAF"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Arenen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r w:rsidRPr="00EA3FAF">
                    <w:rPr>
                      <w:rFonts w:ascii="Tahoma" w:hAnsi="Tahoma" w:cs="Tahoma"/>
                      <w:b/>
                      <w:bCs/>
                      <w:color w:val="000000" w:themeColor="text1"/>
                      <w:sz w:val="20"/>
                      <w:szCs w:val="20"/>
                    </w:rPr>
                    <w:t>Oppimaan 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ymmärtää muuttuvan työelämän kompleksisuuden ja omaa resilienssiä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r w:rsidRPr="61205BC3">
              <w:rPr>
                <w:rFonts w:ascii="Tahoma" w:eastAsia="Tahoma" w:hAnsi="Tahoma" w:cs="Tahoma"/>
                <w:b/>
                <w:bCs/>
                <w:sz w:val="20"/>
                <w:szCs w:val="20"/>
                <w:lang w:val="en-GB"/>
              </w:rPr>
              <w:lastRenderedPageBreak/>
              <w:t>Kansainvälisyys ja monikulttuurisuus</w:t>
            </w:r>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r w:rsidRPr="61205BC3">
              <w:rPr>
                <w:rFonts w:ascii="Tahoma" w:eastAsia="Tahoma" w:hAnsi="Tahoma" w:cs="Tahoma"/>
                <w:b/>
                <w:bCs/>
                <w:sz w:val="20"/>
                <w:szCs w:val="20"/>
                <w:lang w:val="en-GB"/>
              </w:rPr>
              <w:t>Ennakoiva kehittäminen</w:t>
            </w:r>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1CC82255" w:rsidR="000A5535" w:rsidRPr="00946885" w:rsidRDefault="007E6319" w:rsidP="002B01D6">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EA3FAF">
              <w:rPr>
                <w:rFonts w:ascii="Tahoma" w:hAnsi="Tahoma" w:cs="Tahoma"/>
                <w:b/>
                <w:color w:val="FFFFFF" w:themeColor="background1"/>
                <w:sz w:val="20"/>
                <w:szCs w:val="20"/>
              </w:rPr>
              <w:t xml:space="preserve">ohjelmakohtaiset kompetenssit / </w:t>
            </w:r>
            <w:r w:rsidR="00030CB4">
              <w:rPr>
                <w:rFonts w:ascii="Tahoma" w:hAnsi="Tahoma" w:cs="Tahoma"/>
                <w:b/>
                <w:color w:val="FFFFFF" w:themeColor="background1"/>
                <w:sz w:val="20"/>
                <w:szCs w:val="20"/>
              </w:rPr>
              <w:t>Suuhygienistin</w:t>
            </w:r>
            <w:r w:rsidR="000A5535" w:rsidRPr="00946885">
              <w:rPr>
                <w:rFonts w:ascii="Tahoma" w:hAnsi="Tahoma" w:cs="Tahoma"/>
                <w:b/>
                <w:color w:val="FFFFFF" w:themeColor="background1"/>
                <w:sz w:val="20"/>
                <w:szCs w:val="20"/>
              </w:rPr>
              <w:br/>
            </w:r>
            <w:r w:rsidR="00EA3FAF">
              <w:rPr>
                <w:rFonts w:ascii="Tahoma" w:hAnsi="Tahoma" w:cs="Tahoma"/>
                <w:b/>
                <w:color w:val="FFFFFF" w:themeColor="background1"/>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sidR="00EA3FAF">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030CB4"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1BBB6E7E" w14:textId="77777777" w:rsidR="00030CB4" w:rsidRDefault="00030CB4" w:rsidP="00030CB4">
            <w:pPr>
              <w:spacing w:before="240" w:after="240"/>
              <w:rPr>
                <w:rFonts w:ascii="Tahoma" w:hAnsi="Tahoma" w:cs="Tahoma"/>
                <w:b/>
                <w:sz w:val="20"/>
                <w:szCs w:val="20"/>
              </w:rPr>
            </w:pPr>
            <w:r w:rsidRPr="00026E55">
              <w:rPr>
                <w:rFonts w:ascii="Tahoma" w:hAnsi="Tahoma" w:cs="Tahoma"/>
                <w:b/>
                <w:sz w:val="20"/>
                <w:szCs w:val="20"/>
              </w:rPr>
              <w:t>Eettisyys ja ammatillinen toiminta suun terveydenhoitotyössä</w:t>
            </w:r>
          </w:p>
          <w:p w14:paraId="274F5F88" w14:textId="6AFB053D" w:rsidR="00030CB4" w:rsidRPr="00685F5F" w:rsidRDefault="00030CB4" w:rsidP="00030CB4">
            <w:pPr>
              <w:spacing w:before="240"/>
              <w:ind w:left="12"/>
              <w:rPr>
                <w:rFonts w:ascii="Tahoma" w:hAnsi="Tahoma" w:cs="Tahoma"/>
                <w:b/>
                <w:sz w:val="20"/>
                <w:szCs w:val="20"/>
              </w:rPr>
            </w:pPr>
          </w:p>
        </w:tc>
        <w:tc>
          <w:tcPr>
            <w:tcW w:w="6408" w:type="dxa"/>
            <w:tcBorders>
              <w:top w:val="single" w:sz="4" w:space="0" w:color="auto"/>
              <w:left w:val="single" w:sz="4" w:space="0" w:color="auto"/>
              <w:bottom w:val="single" w:sz="4" w:space="0" w:color="auto"/>
              <w:right w:val="single" w:sz="4" w:space="0" w:color="auto"/>
            </w:tcBorders>
          </w:tcPr>
          <w:p w14:paraId="62CCD137"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toimia suun terveydenhoitotyön arvojen ja eettisten periaatteiden mukaisesti</w:t>
            </w:r>
          </w:p>
          <w:p w14:paraId="668319E0"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kunnioittaa ihmisarvoa ja toimia ihmisoikeuksia loukkaamatta eikä suhtaudu ennakkoluuloisesti yksilöiden ominaisuuksiin ja elämänkatsomuksiin (esimerkiksi ikä, kulttuuri, taustan ja mahdollisuuksien monimuotoisuus, vammaisuus, sukupuoli, kieli, uskonto ja seksuaalinen suuntautuminen).</w:t>
            </w:r>
          </w:p>
          <w:p w14:paraId="4E848515"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kunnioittaa potilassuhteen luottamuksellisuutta, myös vapaa-aikana</w:t>
            </w:r>
          </w:p>
          <w:p w14:paraId="4CF2673F"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ku</w:t>
            </w:r>
            <w:r>
              <w:rPr>
                <w:rFonts w:ascii="Tahoma" w:eastAsia="Arial" w:hAnsi="Tahoma" w:cs="Tahoma"/>
                <w:sz w:val="20"/>
                <w:szCs w:val="20"/>
              </w:rPr>
              <w:t>nnioittaa potilaan itsemääräämisoikeutta</w:t>
            </w:r>
            <w:r w:rsidRPr="00525881">
              <w:rPr>
                <w:rFonts w:ascii="Tahoma" w:eastAsia="Arial" w:hAnsi="Tahoma" w:cs="Tahoma"/>
                <w:sz w:val="20"/>
                <w:szCs w:val="20"/>
              </w:rPr>
              <w:t xml:space="preserve">, potilaan valintoja ja tietoista suostumusta </w:t>
            </w:r>
          </w:p>
          <w:p w14:paraId="0A6FB5F4"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kuvata suuhygienistin ammattia ohjaavat lait ja asetukset ja toimia suun terveyden hoitotyössä niiden mukaisesti</w:t>
            </w:r>
          </w:p>
          <w:p w14:paraId="7AA411DA"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käyttäytyä sosiaalisessa mediassa sekä verkkoviestinnässä eettisten periaatteiden mukaisesti vahingoittamatta ammattikunnan mainetta</w:t>
            </w:r>
          </w:p>
          <w:p w14:paraId="034DCB97"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arvioida ja toimia viipymättä havaitessaan epäeettistä toimintaa tai vaaratilanteita</w:t>
            </w:r>
          </w:p>
          <w:p w14:paraId="5A8808D7"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noProof/>
              </w:rPr>
              <mc:AlternateContent>
                <mc:Choice Requires="wps">
                  <w:drawing>
                    <wp:anchor distT="0" distB="0" distL="114300" distR="114300" simplePos="0" relativeHeight="251659264" behindDoc="0" locked="0" layoutInCell="1" allowOverlap="1" wp14:anchorId="3438A625" wp14:editId="7C4A9E13">
                      <wp:simplePos x="0" y="0"/>
                      <wp:positionH relativeFrom="page">
                        <wp:posOffset>0</wp:posOffset>
                      </wp:positionH>
                      <wp:positionV relativeFrom="page">
                        <wp:posOffset>10689592</wp:posOffset>
                      </wp:positionV>
                      <wp:extent cx="1626873" cy="0"/>
                      <wp:effectExtent l="0" t="0" r="30477" b="19050"/>
                      <wp:wrapNone/>
                      <wp:docPr id="1" name="Suora yhdysviiva 3"/>
                      <wp:cNvGraphicFramePr/>
                      <a:graphic xmlns:a="http://schemas.openxmlformats.org/drawingml/2006/main">
                        <a:graphicData uri="http://schemas.microsoft.com/office/word/2010/wordprocessingShape">
                          <wps:wsp>
                            <wps:cNvCnPr/>
                            <wps:spPr>
                              <a:xfrm>
                                <a:off x="0" y="0"/>
                                <a:ext cx="1626873" cy="0"/>
                              </a:xfrm>
                              <a:prstGeom prst="straightConnector1">
                                <a:avLst/>
                              </a:prstGeom>
                              <a:noFill/>
                              <a:ln w="4581" cap="flat">
                                <a:solidFill>
                                  <a:srgbClr val="000000"/>
                                </a:solidFill>
                                <a:prstDash val="solid"/>
                                <a:round/>
                              </a:ln>
                            </wps:spPr>
                            <wps:bodyPr/>
                          </wps:wsp>
                        </a:graphicData>
                      </a:graphic>
                    </wp:anchor>
                  </w:drawing>
                </mc:Choice>
                <mc:Fallback>
                  <w:pict>
                    <v:shapetype w14:anchorId="6650906A" id="_x0000_t32" coordsize="21600,21600" o:spt="32" o:oned="t" path="m,l21600,21600e" filled="f">
                      <v:path arrowok="t" fillok="f" o:connecttype="none"/>
                      <o:lock v:ext="edit" shapetype="t"/>
                    </v:shapetype>
                    <v:shape id="Suora yhdysviiva 3" o:spid="_x0000_s1026" type="#_x0000_t32" style="position:absolute;margin-left:0;margin-top:841.7pt;width:128.1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" strokeweight=".12725mm">
                      <w10:wrap anchorx="page" anchory="page"/>
                    </v:shape>
                  </w:pict>
                </mc:Fallback>
              </mc:AlternateContent>
            </w:r>
            <w:r w:rsidRPr="00525881">
              <w:rPr>
                <w:rFonts w:ascii="Tahoma" w:eastAsia="Arial" w:hAnsi="Tahoma" w:cs="Tahoma"/>
                <w:sz w:val="20"/>
                <w:szCs w:val="20"/>
              </w:rPr>
              <w:t>toteuttaa kokonaisvaltaista ja laadukasta hoitoa potilaille</w:t>
            </w:r>
          </w:p>
          <w:p w14:paraId="2FC807A9"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lastRenderedPageBreak/>
              <w:t>kommunikoida ammatillisesti potilaiden, huoltajien tai hoitajien sekä eri alan asiantuntijoiden kanssa</w:t>
            </w:r>
          </w:p>
          <w:p w14:paraId="27DAA9ED"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toimia potilaskeskeisesti ja varmistaa potilasturvallisuuden niin, että potilaiden etu on aina etusijalla</w:t>
            </w:r>
          </w:p>
          <w:p w14:paraId="0AB5A02C"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tunnistaa osaamisensa rajat itsearvioinnin, kriittisen palautteen ja vertaisarvioinnin avulla</w:t>
            </w:r>
          </w:p>
          <w:p w14:paraId="74CE7EDD"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tehdä itsenäisiä päätöksiä ja tunnistaa tarpeen tuelle ja konsultoinnille</w:t>
            </w:r>
          </w:p>
          <w:p w14:paraId="30E5DE0B"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osoittaa kykyä arvioida omia päätöksiään, toimintaansa ja suoritustaan ja osaa soveltaa sitä ja saamaansa palautetta jatkuvaan ammatillisen osaamisen kehittymiseen</w:t>
            </w:r>
          </w:p>
          <w:p w14:paraId="7D842C47"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 xml:space="preserve">osoittaa vastuuntuntoa ja kykyä perustella toimintaansa ja päätöksiään avoimesti </w:t>
            </w:r>
          </w:p>
          <w:p w14:paraId="52A3894B"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edistää turvallista, kannustavaa ja ammatillista työyhteisöä</w:t>
            </w:r>
          </w:p>
          <w:p w14:paraId="66D6D27E" w14:textId="77777777" w:rsidR="00030CB4" w:rsidRPr="00525881" w:rsidRDefault="00030CB4" w:rsidP="00030CB4">
            <w:pPr>
              <w:pStyle w:val="Luettelokappale"/>
              <w:widowControl w:val="0"/>
              <w:numPr>
                <w:ilvl w:val="0"/>
                <w:numId w:val="12"/>
              </w:numPr>
              <w:suppressAutoHyphens/>
              <w:autoSpaceDE w:val="0"/>
              <w:autoSpaceDN w:val="0"/>
              <w:spacing w:after="0" w:line="240" w:lineRule="auto"/>
              <w:textAlignment w:val="baseline"/>
              <w:rPr>
                <w:rFonts w:ascii="Tahoma" w:eastAsia="Arial" w:hAnsi="Tahoma" w:cs="Tahoma"/>
                <w:sz w:val="20"/>
                <w:szCs w:val="20"/>
              </w:rPr>
            </w:pPr>
            <w:r w:rsidRPr="00525881">
              <w:rPr>
                <w:rFonts w:ascii="Tahoma" w:eastAsia="Arial" w:hAnsi="Tahoma" w:cs="Tahoma"/>
                <w:sz w:val="20"/>
                <w:szCs w:val="20"/>
              </w:rPr>
              <w:t xml:space="preserve">toimia aktiivisena kehittäjänä työyhteisön monialaisissa tiimeissä edistämällä potilaan hoitoa sekä työn tehokkuutta ja tuloksellisuutta </w:t>
            </w:r>
          </w:p>
          <w:p w14:paraId="3ADB1D66" w14:textId="5A561A37" w:rsidR="00030CB4" w:rsidRPr="00685F5F" w:rsidRDefault="00030CB4" w:rsidP="00030CB4">
            <w:pPr>
              <w:pStyle w:val="Luettelokappale"/>
              <w:numPr>
                <w:ilvl w:val="0"/>
                <w:numId w:val="1"/>
              </w:numPr>
              <w:spacing w:after="0" w:line="240" w:lineRule="auto"/>
              <w:rPr>
                <w:rFonts w:ascii="Tahoma" w:hAnsi="Tahoma" w:cs="Tahoma"/>
                <w:sz w:val="20"/>
                <w:szCs w:val="20"/>
              </w:rPr>
            </w:pPr>
            <w:r w:rsidRPr="00525881">
              <w:rPr>
                <w:rFonts w:ascii="Tahoma" w:eastAsia="Arial" w:hAnsi="Tahoma" w:cs="Tahoma"/>
                <w:sz w:val="20"/>
                <w:szCs w:val="20"/>
              </w:rPr>
              <w:t>käyttäytyä ammatillisesti ja asiantuntijuutta kunnioittaen työyhteisönsä jäseniä ja muita yhteistyökumppaneita kohtaan</w:t>
            </w:r>
          </w:p>
        </w:tc>
      </w:tr>
      <w:tr w:rsidR="00030CB4"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E2F16C2" w14:textId="77777777" w:rsidR="00030CB4" w:rsidRDefault="00030CB4" w:rsidP="00030CB4">
            <w:pPr>
              <w:spacing w:before="240"/>
              <w:rPr>
                <w:rFonts w:ascii="Tahoma" w:hAnsi="Tahoma" w:cs="Tahoma"/>
                <w:b/>
                <w:sz w:val="20"/>
                <w:szCs w:val="20"/>
              </w:rPr>
            </w:pPr>
            <w:r w:rsidRPr="00026E55">
              <w:rPr>
                <w:rFonts w:ascii="Tahoma" w:hAnsi="Tahoma" w:cs="Tahoma"/>
                <w:b/>
                <w:sz w:val="20"/>
                <w:szCs w:val="20"/>
              </w:rPr>
              <w:lastRenderedPageBreak/>
              <w:t>Näyttöön perustuva suun terveydenhoitotyö</w:t>
            </w:r>
          </w:p>
          <w:p w14:paraId="3FB8186C" w14:textId="3B04F0F2" w:rsidR="00030CB4" w:rsidRPr="00685F5F" w:rsidRDefault="00030CB4" w:rsidP="00030CB4">
            <w:pPr>
              <w:spacing w:before="240"/>
              <w:rPr>
                <w:rFonts w:ascii="Tahoma" w:hAnsi="Tahoma" w:cs="Tahoma"/>
                <w:b/>
                <w:sz w:val="20"/>
                <w:szCs w:val="20"/>
              </w:rPr>
            </w:pPr>
          </w:p>
        </w:tc>
        <w:tc>
          <w:tcPr>
            <w:tcW w:w="6408" w:type="dxa"/>
            <w:tcBorders>
              <w:top w:val="single" w:sz="4" w:space="0" w:color="auto"/>
              <w:left w:val="single" w:sz="4" w:space="0" w:color="auto"/>
              <w:bottom w:val="single" w:sz="4" w:space="0" w:color="auto"/>
              <w:right w:val="single" w:sz="4" w:space="0" w:color="auto"/>
            </w:tcBorders>
          </w:tcPr>
          <w:p w14:paraId="30337263"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color w:val="000000" w:themeColor="text1"/>
                <w:sz w:val="20"/>
                <w:szCs w:val="20"/>
              </w:rPr>
              <w:t>käyttää</w:t>
            </w:r>
            <w:r w:rsidRPr="00026E55">
              <w:rPr>
                <w:rFonts w:ascii="Tahoma" w:hAnsi="Tahoma" w:cs="Tahoma"/>
                <w:sz w:val="20"/>
                <w:szCs w:val="20"/>
              </w:rPr>
              <w:t xml:space="preserve"> laajaa tieteellistä perustaa suun terveydenhoitotyössään</w:t>
            </w:r>
          </w:p>
          <w:p w14:paraId="40B80C8B"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sz w:val="20"/>
                <w:szCs w:val="20"/>
              </w:rPr>
              <w:t>arvioida alan tuotteista esitettyjen väitteiden pätevyyttä ensisijaisesti riskiin, kliiniseen hyötyyn ja kustannuksiin nähden</w:t>
            </w:r>
          </w:p>
          <w:p w14:paraId="6FC5FC65"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sz w:val="20"/>
                <w:szCs w:val="20"/>
              </w:rPr>
              <w:t>lukea ja kriittisesti arvioida tieteellisiä julkaisuja</w:t>
            </w:r>
          </w:p>
          <w:p w14:paraId="1970AEF9"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sz w:val="20"/>
                <w:szCs w:val="20"/>
              </w:rPr>
              <w:t>jakaa asiantuntijatietoaan tehokkaasti suullisesti, kirjallisesti ja sähköisesti</w:t>
            </w:r>
          </w:p>
          <w:p w14:paraId="12F538BD"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sz w:val="20"/>
                <w:szCs w:val="20"/>
              </w:rPr>
              <w:t xml:space="preserve">olla tarvittaessa aktiivisena toimijana potilaan hoidossa osana suun terveydenhoidon, terveydenhoidon tai sosiaalihuollon tiimiä </w:t>
            </w:r>
          </w:p>
          <w:p w14:paraId="648E5990"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sz w:val="20"/>
                <w:szCs w:val="20"/>
              </w:rPr>
              <w:t xml:space="preserve">selittää potilaan päätöksen teon perustaksi hoidon suunnittelua ja suunniteltuun hoitoon liittyviä hyötyjä ja riskejä </w:t>
            </w:r>
          </w:p>
          <w:p w14:paraId="440EDE47" w14:textId="77777777" w:rsidR="00030CB4" w:rsidRPr="00026E55" w:rsidRDefault="00030CB4" w:rsidP="00030CB4">
            <w:pPr>
              <w:pStyle w:val="Luettelokappale"/>
              <w:widowControl w:val="0"/>
              <w:numPr>
                <w:ilvl w:val="0"/>
                <w:numId w:val="10"/>
              </w:numPr>
              <w:autoSpaceDE w:val="0"/>
              <w:autoSpaceDN w:val="0"/>
              <w:spacing w:after="0" w:line="240" w:lineRule="auto"/>
              <w:contextualSpacing w:val="0"/>
              <w:rPr>
                <w:rFonts w:ascii="Tahoma" w:hAnsi="Tahoma" w:cs="Tahoma"/>
                <w:sz w:val="20"/>
                <w:szCs w:val="20"/>
              </w:rPr>
            </w:pPr>
            <w:r w:rsidRPr="00026E55">
              <w:rPr>
                <w:rFonts w:ascii="Tahoma" w:hAnsi="Tahoma" w:cs="Tahoma"/>
                <w:sz w:val="20"/>
                <w:szCs w:val="20"/>
              </w:rPr>
              <w:t>tehdä yhteistyötä potilaiden ja heidän omaistensa kanssa potilaan elämän kaikissa vaiheissa huomioiden sen hetkinen käsitys suun terveydestä ja suun terveyden edistämisestä, riskinarvioinnista ja suusairauksien hoidosta</w:t>
            </w:r>
          </w:p>
          <w:p w14:paraId="09721207" w14:textId="77777777" w:rsidR="00030CB4" w:rsidRPr="00176BA5" w:rsidRDefault="00030CB4" w:rsidP="00030CB4">
            <w:pPr>
              <w:pStyle w:val="Luettelokappale"/>
              <w:widowControl w:val="0"/>
              <w:numPr>
                <w:ilvl w:val="0"/>
                <w:numId w:val="10"/>
              </w:numPr>
              <w:autoSpaceDE w:val="0"/>
              <w:autoSpaceDN w:val="0"/>
              <w:spacing w:after="0" w:line="240" w:lineRule="auto"/>
              <w:contextualSpacing w:val="0"/>
              <w:rPr>
                <w:rFonts w:ascii="Tahoma" w:eastAsia="Times New Roman" w:hAnsi="Tahoma" w:cs="Tahoma"/>
                <w:snapToGrid w:val="0"/>
                <w:color w:val="000000"/>
                <w:sz w:val="20"/>
                <w:szCs w:val="20"/>
              </w:rPr>
            </w:pPr>
            <w:r w:rsidRPr="00026E55">
              <w:rPr>
                <w:rFonts w:ascii="Tahoma" w:hAnsi="Tahoma" w:cs="Tahoma"/>
                <w:sz w:val="20"/>
                <w:szCs w:val="20"/>
              </w:rPr>
              <w:t>tunnistaa työympäristössä olevia vaaroja ja osaa toimia vaaratil</w:t>
            </w:r>
            <w:r>
              <w:rPr>
                <w:rFonts w:ascii="Tahoma" w:hAnsi="Tahoma" w:cs="Tahoma"/>
                <w:sz w:val="20"/>
                <w:szCs w:val="20"/>
              </w:rPr>
              <w:t xml:space="preserve">anteen sattuessa </w:t>
            </w:r>
          </w:p>
          <w:p w14:paraId="2F1FDAF7" w14:textId="782A4DE9" w:rsidR="00030CB4" w:rsidRPr="00685F5F" w:rsidRDefault="00030CB4" w:rsidP="00030CB4">
            <w:pPr>
              <w:pStyle w:val="Luettelokappale"/>
              <w:numPr>
                <w:ilvl w:val="0"/>
                <w:numId w:val="1"/>
              </w:numPr>
              <w:spacing w:after="0" w:line="240" w:lineRule="auto"/>
              <w:rPr>
                <w:rFonts w:ascii="Tahoma" w:hAnsi="Tahoma" w:cs="Tahoma"/>
                <w:sz w:val="20"/>
                <w:szCs w:val="20"/>
              </w:rPr>
            </w:pPr>
            <w:r w:rsidRPr="00026E55">
              <w:rPr>
                <w:rFonts w:ascii="Tahoma" w:hAnsi="Tahoma" w:cs="Tahoma"/>
                <w:sz w:val="20"/>
                <w:szCs w:val="20"/>
              </w:rPr>
              <w:t>arvioida hoitoon osallistuvien palautteita ja antaa suosituksia niiden perusteella</w:t>
            </w:r>
          </w:p>
        </w:tc>
      </w:tr>
      <w:tr w:rsidR="00030CB4"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1C2086A9" w14:textId="77777777" w:rsidR="00030CB4" w:rsidRPr="00F54379" w:rsidRDefault="00030CB4" w:rsidP="00030CB4">
            <w:pPr>
              <w:spacing w:before="240" w:after="240"/>
              <w:rPr>
                <w:rFonts w:ascii="Tahoma" w:hAnsi="Tahoma" w:cs="Tahoma"/>
                <w:b/>
                <w:sz w:val="20"/>
                <w:szCs w:val="20"/>
                <w:lang w:val="en-GB"/>
              </w:rPr>
            </w:pPr>
            <w:r w:rsidRPr="00F54379">
              <w:rPr>
                <w:rFonts w:ascii="Tahoma" w:hAnsi="Tahoma" w:cs="Tahoma"/>
                <w:b/>
                <w:sz w:val="20"/>
                <w:szCs w:val="20"/>
                <w:lang w:val="en-GB"/>
              </w:rPr>
              <w:t>Kliininen suun terveydenhoitotyö</w:t>
            </w:r>
          </w:p>
          <w:p w14:paraId="09B7EB9B" w14:textId="479C412A" w:rsidR="00030CB4" w:rsidRPr="00685F5F" w:rsidRDefault="00030CB4" w:rsidP="00030CB4">
            <w:pPr>
              <w:spacing w:before="240"/>
              <w:ind w:left="12"/>
              <w:rPr>
                <w:rFonts w:ascii="Tahoma" w:hAnsi="Tahoma" w:cs="Tahoma"/>
                <w:b/>
                <w:sz w:val="20"/>
                <w:szCs w:val="20"/>
                <w:lang w:val="en-US"/>
              </w:rPr>
            </w:pPr>
          </w:p>
        </w:tc>
        <w:tc>
          <w:tcPr>
            <w:tcW w:w="6408" w:type="dxa"/>
            <w:tcBorders>
              <w:top w:val="single" w:sz="4" w:space="0" w:color="auto"/>
              <w:left w:val="single" w:sz="4" w:space="0" w:color="auto"/>
              <w:bottom w:val="single" w:sz="4" w:space="0" w:color="auto"/>
              <w:right w:val="single" w:sz="4" w:space="0" w:color="auto"/>
            </w:tcBorders>
          </w:tcPr>
          <w:p w14:paraId="30BE10A6"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hampaan kovakudossairauksien syntymekanismit, riskitekijät ja niiden aiheuttamat muutokset sekä hallitsee niiden ennaltaehkäisevän hoidon suunnittelun ja toteutuksen </w:t>
            </w:r>
          </w:p>
          <w:p w14:paraId="06917D69"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kiinnityskudossairauksien ja peri-implanttisairauksien syntymekanismit, riskitekijät ja niiden aiheuttamat muutokset sekä hallitsee niiden ennaltaehkäisevän hoidon suunnittelun ja toteutuksen </w:t>
            </w:r>
          </w:p>
          <w:p w14:paraId="1684D51A"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suun terveydenhoitotyössä tarvittavan ihmisen anatomian ja fysiologian</w:t>
            </w:r>
          </w:p>
          <w:p w14:paraId="00F00384"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tietää maitohampaiston, vaihduntahampaiston ja pysyvän hampaiston kehittymisen ja puhkeamisen vaiheet </w:t>
            </w:r>
          </w:p>
          <w:p w14:paraId="12C393DB"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suun terveydenhoitotyössä tarvittavat säteilyturvallisuuden ja kuvantamisen menetelmät </w:t>
            </w:r>
          </w:p>
          <w:p w14:paraId="740BF52D"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toimia työturvallisuuden ohjeita ja suosituksia noudattaen (esim. rokotussuositukset, hygieniaohjeet, säteilysuojaus, erilaisten laitteiden käyttö- ja huolto-ohjeet)</w:t>
            </w:r>
          </w:p>
          <w:p w14:paraId="09C9A2AB"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ylläpitää turvallista työympäristöä (infektioiden torjunta, vaaralliset kemikaalit, ionisoiva säteily, ergonomia, laitteet ja stressin hallinta)</w:t>
            </w:r>
          </w:p>
          <w:p w14:paraId="177237CA"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lastRenderedPageBreak/>
              <w:t>-</w:t>
            </w:r>
            <w:r w:rsidRPr="002E2B22">
              <w:rPr>
                <w:rFonts w:ascii="Tahoma" w:hAnsi="Tahoma" w:cs="Tahoma"/>
                <w:snapToGrid w:val="0"/>
                <w:color w:val="000000"/>
                <w:sz w:val="20"/>
                <w:szCs w:val="20"/>
              </w:rPr>
              <w:tab/>
              <w:t>tietää yleisterveyden, suunterveyden ja sairauksien välisen yhteyden ja ottaa huomioon potilaan lääkehoidon hoidon suunnittelussa ja toteutuksessa</w:t>
            </w:r>
          </w:p>
          <w:p w14:paraId="13D306AB"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hallitsee suun terveydenhoitotyössä tarvittavan lääkehoidon </w:t>
            </w:r>
          </w:p>
          <w:p w14:paraId="21B39023"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arvioida hätätilanteiden riskiä suun terveydenhoidossa ja osaa toimia niissä </w:t>
            </w:r>
          </w:p>
          <w:p w14:paraId="00AD432B"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Pr>
                <w:rFonts w:ascii="Tahoma" w:hAnsi="Tahoma" w:cs="Tahoma"/>
                <w:snapToGrid w:val="0"/>
                <w:color w:val="000000"/>
                <w:sz w:val="20"/>
                <w:szCs w:val="20"/>
              </w:rPr>
              <w:t>-</w:t>
            </w:r>
            <w:r>
              <w:rPr>
                <w:rFonts w:ascii="Tahoma" w:hAnsi="Tahoma" w:cs="Tahoma"/>
                <w:snapToGrid w:val="0"/>
                <w:color w:val="000000"/>
                <w:sz w:val="20"/>
                <w:szCs w:val="20"/>
              </w:rPr>
              <w:tab/>
              <w:t>l</w:t>
            </w:r>
            <w:r w:rsidRPr="002E2B22">
              <w:rPr>
                <w:rFonts w:ascii="Tahoma" w:hAnsi="Tahoma" w:cs="Tahoma"/>
                <w:snapToGrid w:val="0"/>
                <w:color w:val="000000"/>
                <w:sz w:val="20"/>
                <w:szCs w:val="20"/>
              </w:rPr>
              <w:t>aatia tarkat ja ajantasaiset potilastiedot lain vaatimusten mukaisesti käyttäen digitaalisia välineitä potilastietojen dokumentoinnissa ja hallinnassa</w:t>
            </w:r>
          </w:p>
          <w:p w14:paraId="11F681CB"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arvioida suun ulkoiset ja sisäiset pehmyt- ja kovakudokset suun ja kasvojen alueella</w:t>
            </w:r>
          </w:p>
          <w:p w14:paraId="38DE12ED"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lähettää potilaan jatkohoitoon tilanteen vaatiessa</w:t>
            </w:r>
          </w:p>
          <w:p w14:paraId="3A88ECB2"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määrätä ja ohjata fluorivalmisteiden käyttöä potilaalle sekä käyttää vastaanoton fluorivalmisteita kovakudossairauksien ehkäisyssä</w:t>
            </w:r>
          </w:p>
          <w:p w14:paraId="31ED3BB0"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pinnoittaa hampaita Karieksen hallinta: Käypä hoito- suosituksen mukaisesti</w:t>
            </w:r>
          </w:p>
          <w:p w14:paraId="75178C4D"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toteuttaa anti-infektiivistä hoitoa </w:t>
            </w:r>
          </w:p>
          <w:p w14:paraId="236E5D1C"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arvioida paikallispuudutteen käytön indikaatiot ja kontraindikaatiot ja puudutuksesta mahdollisesti aiheutuvat komplikaatiot </w:t>
            </w:r>
          </w:p>
          <w:p w14:paraId="5BF6CDD1"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hallitsee puudutusaineen infiltroinnin </w:t>
            </w:r>
          </w:p>
          <w:p w14:paraId="2642B22E"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osaa hampaiden valkaisuhoidot ja niihin liittyvän ohjauksen</w:t>
            </w:r>
          </w:p>
          <w:p w14:paraId="67BA4DB9"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kiinnittää, huoltaa ja poistaa kiinteät ja irrotettavat oikomiskojeet </w:t>
            </w:r>
          </w:p>
          <w:p w14:paraId="7144A931" w14:textId="77777777" w:rsidR="00030CB4" w:rsidRPr="002E2B22" w:rsidRDefault="00030CB4" w:rsidP="00030CB4">
            <w:pPr>
              <w:autoSpaceDE w:val="0"/>
              <w:autoSpaceDN w:val="0"/>
              <w:adjustRightInd w:val="0"/>
              <w:ind w:left="357" w:hanging="357"/>
              <w:rPr>
                <w:rFonts w:ascii="Tahoma" w:hAnsi="Tahoma" w:cs="Tahoma"/>
                <w:snapToGrid w:val="0"/>
                <w:color w:val="000000"/>
                <w:sz w:val="20"/>
                <w:szCs w:val="20"/>
              </w:rPr>
            </w:pPr>
            <w:r w:rsidRPr="002E2B22">
              <w:rPr>
                <w:rFonts w:ascii="Tahoma" w:hAnsi="Tahoma" w:cs="Tahoma"/>
                <w:snapToGrid w:val="0"/>
                <w:color w:val="000000"/>
                <w:sz w:val="20"/>
                <w:szCs w:val="20"/>
              </w:rPr>
              <w:t>-</w:t>
            </w:r>
            <w:r w:rsidRPr="002E2B22">
              <w:rPr>
                <w:rFonts w:ascii="Tahoma" w:hAnsi="Tahoma" w:cs="Tahoma"/>
                <w:snapToGrid w:val="0"/>
                <w:color w:val="000000"/>
                <w:sz w:val="20"/>
                <w:szCs w:val="20"/>
              </w:rPr>
              <w:tab/>
              <w:t xml:space="preserve">osaa toteuttaa hoitosuunnitelman mukaista potilaan suun hoitoa </w:t>
            </w:r>
          </w:p>
          <w:p w14:paraId="06494499" w14:textId="7E0E75A9" w:rsidR="00030CB4" w:rsidRPr="00685F5F" w:rsidRDefault="00030CB4" w:rsidP="00030CB4">
            <w:pPr>
              <w:pStyle w:val="Luettelokappale"/>
              <w:numPr>
                <w:ilvl w:val="0"/>
                <w:numId w:val="1"/>
              </w:numPr>
              <w:spacing w:after="0" w:line="240" w:lineRule="auto"/>
              <w:rPr>
                <w:rFonts w:ascii="Tahoma" w:hAnsi="Tahoma" w:cs="Tahoma"/>
                <w:snapToGrid w:val="0"/>
                <w:sz w:val="20"/>
                <w:szCs w:val="20"/>
              </w:rPr>
            </w:pPr>
            <w:r w:rsidRPr="002E2B22">
              <w:rPr>
                <w:rFonts w:ascii="Tahoma" w:eastAsia="Times New Roman" w:hAnsi="Tahoma" w:cs="Tahoma"/>
                <w:snapToGrid w:val="0"/>
                <w:color w:val="000000"/>
                <w:sz w:val="20"/>
                <w:szCs w:val="20"/>
              </w:rPr>
              <w:t>osaa arvioida antamansa suun terveydenhoidon vaikuttavuutta ja laatia sen perusteella potilaan jatkohoitoa</w:t>
            </w:r>
          </w:p>
        </w:tc>
      </w:tr>
      <w:tr w:rsidR="00030CB4"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6270A340" w14:textId="77777777" w:rsidR="00030CB4" w:rsidRPr="00F54379" w:rsidRDefault="00030CB4" w:rsidP="00030CB4">
            <w:pPr>
              <w:spacing w:before="240" w:after="240"/>
              <w:rPr>
                <w:rFonts w:ascii="Tahoma" w:hAnsi="Tahoma" w:cs="Tahoma"/>
                <w:b/>
                <w:sz w:val="20"/>
                <w:szCs w:val="20"/>
                <w:lang w:val="en-GB"/>
              </w:rPr>
            </w:pPr>
            <w:r w:rsidRPr="00F54379">
              <w:rPr>
                <w:rFonts w:ascii="Tahoma" w:hAnsi="Tahoma" w:cs="Tahoma"/>
                <w:b/>
                <w:sz w:val="20"/>
                <w:szCs w:val="20"/>
                <w:lang w:val="en-GB"/>
              </w:rPr>
              <w:lastRenderedPageBreak/>
              <w:t>Ohjaus- ja opetus</w:t>
            </w:r>
            <w:r>
              <w:rPr>
                <w:rFonts w:ascii="Tahoma" w:hAnsi="Tahoma" w:cs="Tahoma"/>
                <w:b/>
                <w:sz w:val="20"/>
                <w:szCs w:val="20"/>
                <w:lang w:val="en-GB"/>
              </w:rPr>
              <w:t xml:space="preserve"> </w:t>
            </w:r>
            <w:r w:rsidRPr="00F54379">
              <w:rPr>
                <w:rFonts w:ascii="Tahoma" w:hAnsi="Tahoma" w:cs="Tahoma"/>
                <w:b/>
                <w:sz w:val="20"/>
                <w:szCs w:val="20"/>
                <w:lang w:val="en-GB"/>
              </w:rPr>
              <w:t>osaaminen</w:t>
            </w:r>
          </w:p>
          <w:p w14:paraId="021443F9" w14:textId="507CCC83" w:rsidR="00030CB4" w:rsidRPr="00030CB4" w:rsidRDefault="00030CB4" w:rsidP="00030CB4">
            <w:pPr>
              <w:spacing w:before="240"/>
              <w:rPr>
                <w:rFonts w:ascii="Tahoma" w:hAnsi="Tahoma" w:cs="Tahoma"/>
                <w:b/>
                <w:sz w:val="20"/>
                <w:szCs w:val="20"/>
                <w:lang w:val="en-US"/>
              </w:rPr>
            </w:pPr>
          </w:p>
        </w:tc>
        <w:tc>
          <w:tcPr>
            <w:tcW w:w="6408" w:type="dxa"/>
            <w:tcBorders>
              <w:top w:val="single" w:sz="4" w:space="0" w:color="auto"/>
              <w:left w:val="single" w:sz="4" w:space="0" w:color="auto"/>
              <w:bottom w:val="single" w:sz="4" w:space="0" w:color="auto"/>
              <w:right w:val="single" w:sz="4" w:space="0" w:color="auto"/>
            </w:tcBorders>
          </w:tcPr>
          <w:p w14:paraId="5BFA1005"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ymmärtää ohjauksen ja opetuksen filosofiset, eettiset ja pedagogiset lähtökohdat toteuttaessaan suun terveyttä edistävää toimintaa</w:t>
            </w:r>
          </w:p>
          <w:p w14:paraId="23456F34"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suunnitella, toteuttaa ja arvioida yksilö- ja ryhmäkohtaista ohjausta</w:t>
            </w:r>
          </w:p>
          <w:p w14:paraId="39C7DA22"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käyttää tilanteeseen sopivia asiakasta osallistavia ja motivoivia ohjaus- ja opetusmenetelmiä</w:t>
            </w:r>
          </w:p>
          <w:p w14:paraId="430825B0"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 xml:space="preserve">osaa soveltaa viestinnän menetelmiä lapsiin ja nuoriin sekä sellaisiin potilaisiin, joilla on erityistarpeita   </w:t>
            </w:r>
          </w:p>
          <w:p w14:paraId="2A9ABAE3"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käyttää virtuaalisia menetelmiä/vastaanottoa ohjauksessaan</w:t>
            </w:r>
          </w:p>
          <w:p w14:paraId="0D006A2A"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käyttää tarkoituksenmukaista materiaalia ohjauksessaan</w:t>
            </w:r>
          </w:p>
          <w:p w14:paraId="251AD79E" w14:textId="63F57C9C" w:rsidR="00030CB4" w:rsidRPr="00685F5F" w:rsidRDefault="00030CB4" w:rsidP="00030CB4">
            <w:pPr>
              <w:pStyle w:val="Luettelokappale"/>
              <w:numPr>
                <w:ilvl w:val="0"/>
                <w:numId w:val="1"/>
              </w:numPr>
              <w:spacing w:after="0" w:line="240" w:lineRule="auto"/>
              <w:rPr>
                <w:rFonts w:ascii="Tahoma" w:eastAsia="Times New Roman" w:hAnsi="Tahoma" w:cs="Tahoma"/>
                <w:sz w:val="20"/>
                <w:szCs w:val="20"/>
              </w:rPr>
            </w:pPr>
            <w:r w:rsidRPr="00026E55">
              <w:rPr>
                <w:rFonts w:ascii="Tahoma" w:hAnsi="Tahoma" w:cs="Tahoma"/>
                <w:snapToGrid w:val="0"/>
                <w:sz w:val="20"/>
                <w:szCs w:val="20"/>
              </w:rPr>
              <w:t>osaa tuottaa uutta opetus- ja ohjausmateriaalia</w:t>
            </w:r>
          </w:p>
        </w:tc>
      </w:tr>
      <w:tr w:rsidR="00030CB4" w:rsidRPr="00946885" w14:paraId="54EE80C3" w14:textId="77777777" w:rsidTr="009477CE">
        <w:tc>
          <w:tcPr>
            <w:tcW w:w="2977" w:type="dxa"/>
            <w:tcBorders>
              <w:top w:val="single" w:sz="4" w:space="0" w:color="auto"/>
              <w:left w:val="single" w:sz="4" w:space="0" w:color="auto"/>
              <w:bottom w:val="single" w:sz="4" w:space="0" w:color="auto"/>
              <w:right w:val="single" w:sz="4" w:space="0" w:color="auto"/>
            </w:tcBorders>
          </w:tcPr>
          <w:p w14:paraId="0DDD7FDF" w14:textId="77777777" w:rsidR="00030CB4" w:rsidRPr="00F54379" w:rsidRDefault="00030CB4" w:rsidP="00030CB4">
            <w:pPr>
              <w:spacing w:before="240" w:after="240"/>
              <w:rPr>
                <w:rFonts w:ascii="Tahoma" w:hAnsi="Tahoma" w:cs="Tahoma"/>
                <w:b/>
                <w:sz w:val="20"/>
                <w:szCs w:val="20"/>
                <w:lang w:val="en-GB"/>
              </w:rPr>
            </w:pPr>
            <w:r w:rsidRPr="00F54379">
              <w:rPr>
                <w:rFonts w:ascii="Tahoma" w:hAnsi="Tahoma" w:cs="Tahoma"/>
                <w:b/>
                <w:sz w:val="20"/>
                <w:szCs w:val="20"/>
                <w:lang w:val="en-GB"/>
              </w:rPr>
              <w:t xml:space="preserve">Suun terveyden ja toimintakyvyn edistäminen </w:t>
            </w:r>
          </w:p>
          <w:p w14:paraId="1242F1F2" w14:textId="5EBE98C7" w:rsidR="00030CB4" w:rsidRPr="00030CB4" w:rsidRDefault="00030CB4" w:rsidP="00030CB4">
            <w:pPr>
              <w:spacing w:before="240"/>
              <w:rPr>
                <w:rFonts w:ascii="Tahoma" w:hAnsi="Tahoma" w:cs="Tahoma"/>
                <w:b/>
                <w:sz w:val="20"/>
                <w:szCs w:val="20"/>
                <w:lang w:val="en-US"/>
              </w:rPr>
            </w:pPr>
          </w:p>
        </w:tc>
        <w:tc>
          <w:tcPr>
            <w:tcW w:w="6408" w:type="dxa"/>
            <w:tcBorders>
              <w:top w:val="single" w:sz="4" w:space="0" w:color="auto"/>
              <w:left w:val="single" w:sz="4" w:space="0" w:color="auto"/>
              <w:bottom w:val="single" w:sz="4" w:space="0" w:color="auto"/>
              <w:right w:val="single" w:sz="4" w:space="0" w:color="auto"/>
            </w:tcBorders>
          </w:tcPr>
          <w:p w14:paraId="7C50FD7A"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 xml:space="preserve">osaa arvioida suun terveyden vaikutusta ihmisen elämänlaatuun </w:t>
            </w:r>
          </w:p>
          <w:p w14:paraId="4A19356B"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 xml:space="preserve">osaa arvioida yksittäisen potilaan suun terveyden riskitekijät suhteessa yleisterveyteen </w:t>
            </w:r>
          </w:p>
          <w:p w14:paraId="44232CB4"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arvioida tupakkatuotteiden, alkoholin ja päihteiden väärinkäytön vaikutuksia yleis- ja suun terveyteen</w:t>
            </w:r>
          </w:p>
          <w:p w14:paraId="1476BF46"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kartoittaa potilaan terveyskäyttäytyminen liittyen erityisesti suun omahoito- ja ravintotottumuksiin sekä tupakkatuotteiden, alkoholin ja huumeiden käyttöön</w:t>
            </w:r>
          </w:p>
          <w:p w14:paraId="2A9497A7"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laatia jokaiselle potilaalle soveltuvia yksilöllisiä suun omahoidon menetelmiä</w:t>
            </w:r>
          </w:p>
          <w:p w14:paraId="218AB67D" w14:textId="77777777" w:rsidR="00030CB4" w:rsidRPr="00026E55" w:rsidRDefault="00030CB4" w:rsidP="00030CB4">
            <w:pPr>
              <w:pStyle w:val="Luettelokappale"/>
              <w:numPr>
                <w:ilvl w:val="0"/>
                <w:numId w:val="10"/>
              </w:numPr>
              <w:spacing w:after="0" w:line="240" w:lineRule="auto"/>
              <w:rPr>
                <w:rFonts w:ascii="Tahoma" w:hAnsi="Tahoma" w:cs="Tahoma"/>
                <w:snapToGrid w:val="0"/>
                <w:sz w:val="20"/>
                <w:szCs w:val="20"/>
              </w:rPr>
            </w:pPr>
            <w:r w:rsidRPr="00026E55">
              <w:rPr>
                <w:rFonts w:ascii="Tahoma" w:hAnsi="Tahoma" w:cs="Tahoma"/>
                <w:snapToGrid w:val="0"/>
                <w:sz w:val="20"/>
                <w:szCs w:val="20"/>
              </w:rPr>
              <w:t>osaa arvioida potilaille käytettävissä olevien suun omahoitotuotteiden riskit, edut ja rajoitukset</w:t>
            </w:r>
          </w:p>
          <w:p w14:paraId="6187A490" w14:textId="77777777" w:rsidR="00030CB4" w:rsidRPr="00BA5587" w:rsidRDefault="00030CB4" w:rsidP="00030CB4">
            <w:pPr>
              <w:pStyle w:val="Luettelokappale"/>
              <w:numPr>
                <w:ilvl w:val="0"/>
                <w:numId w:val="10"/>
              </w:numPr>
              <w:spacing w:after="0" w:line="240" w:lineRule="auto"/>
              <w:rPr>
                <w:rFonts w:ascii="Tahoma" w:eastAsia="Times New Roman" w:hAnsi="Tahoma" w:cs="Tahoma"/>
                <w:snapToGrid w:val="0"/>
                <w:color w:val="000000"/>
                <w:sz w:val="20"/>
                <w:szCs w:val="20"/>
              </w:rPr>
            </w:pPr>
            <w:r w:rsidRPr="00026E55">
              <w:rPr>
                <w:rFonts w:ascii="Tahoma" w:hAnsi="Tahoma" w:cs="Tahoma"/>
                <w:snapToGrid w:val="0"/>
                <w:sz w:val="20"/>
                <w:szCs w:val="20"/>
              </w:rPr>
              <w:t>hyödyntää suun terveyttä edistävän toiminnan ja hoidon suunnittelussa potilaan lääke- ja hammaslääketieteelliseen hoitohistoriaan sekä perhetaustaan ja sosiaaliseen taustaan liittyviä asioita</w:t>
            </w:r>
          </w:p>
          <w:p w14:paraId="2D4897A6" w14:textId="2BC10945" w:rsidR="00030CB4" w:rsidRPr="00685F5F" w:rsidRDefault="00030CB4" w:rsidP="00030CB4">
            <w:pPr>
              <w:pStyle w:val="Luettelokappale"/>
              <w:numPr>
                <w:ilvl w:val="0"/>
                <w:numId w:val="1"/>
              </w:numPr>
              <w:spacing w:after="0" w:line="240" w:lineRule="auto"/>
              <w:rPr>
                <w:rFonts w:ascii="Tahoma" w:eastAsia="Times New Roman" w:hAnsi="Tahoma" w:cs="Tahoma"/>
                <w:sz w:val="20"/>
                <w:szCs w:val="20"/>
              </w:rPr>
            </w:pPr>
            <w:r w:rsidRPr="00026E55">
              <w:rPr>
                <w:rFonts w:ascii="Tahoma" w:hAnsi="Tahoma" w:cs="Tahoma"/>
                <w:snapToGrid w:val="0"/>
                <w:sz w:val="20"/>
                <w:szCs w:val="20"/>
              </w:rPr>
              <w:lastRenderedPageBreak/>
              <w:t>osaa kehittää strategioita, joiden avulla voidaan arvioida ja edistää yhteisön/väestön suun omahoidon hallintaa ja vähentää tottumuksia, jotka vaikuttavat kielteisesti suun terveyteen.</w:t>
            </w:r>
          </w:p>
        </w:tc>
      </w:tr>
      <w:tr w:rsidR="00030CB4" w:rsidRPr="00946885" w14:paraId="7E48E252" w14:textId="77777777" w:rsidTr="009477CE">
        <w:tc>
          <w:tcPr>
            <w:tcW w:w="2977" w:type="dxa"/>
            <w:tcBorders>
              <w:top w:val="single" w:sz="4" w:space="0" w:color="auto"/>
              <w:left w:val="single" w:sz="4" w:space="0" w:color="auto"/>
              <w:bottom w:val="single" w:sz="4" w:space="0" w:color="auto"/>
              <w:right w:val="single" w:sz="4" w:space="0" w:color="auto"/>
            </w:tcBorders>
          </w:tcPr>
          <w:p w14:paraId="7039CF0E" w14:textId="77777777" w:rsidR="00030CB4" w:rsidRPr="00F54379" w:rsidRDefault="00030CB4" w:rsidP="00030CB4">
            <w:pPr>
              <w:spacing w:before="240" w:after="240"/>
              <w:rPr>
                <w:rFonts w:ascii="Tahoma" w:hAnsi="Tahoma" w:cs="Tahoma"/>
                <w:b/>
                <w:snapToGrid w:val="0"/>
                <w:sz w:val="20"/>
                <w:szCs w:val="20"/>
                <w:lang w:val="en-GB"/>
              </w:rPr>
            </w:pPr>
            <w:r w:rsidRPr="00F54379">
              <w:rPr>
                <w:rFonts w:ascii="Tahoma" w:hAnsi="Tahoma" w:cs="Tahoma"/>
                <w:b/>
                <w:snapToGrid w:val="0"/>
                <w:sz w:val="20"/>
                <w:szCs w:val="20"/>
                <w:lang w:val="en-GB"/>
              </w:rPr>
              <w:lastRenderedPageBreak/>
              <w:t>Sosiaali- ja terveyspalvelut suun terveydenhoitotyössä</w:t>
            </w:r>
          </w:p>
          <w:p w14:paraId="296F9A0F" w14:textId="50F7E64E" w:rsidR="00030CB4" w:rsidRPr="00030CB4" w:rsidRDefault="00030CB4" w:rsidP="00030CB4">
            <w:pPr>
              <w:spacing w:before="240"/>
              <w:rPr>
                <w:rFonts w:ascii="Tahoma" w:hAnsi="Tahoma" w:cs="Tahoma"/>
                <w:b/>
                <w:sz w:val="20"/>
                <w:szCs w:val="20"/>
                <w:lang w:val="en-US"/>
              </w:rPr>
            </w:pPr>
          </w:p>
        </w:tc>
        <w:tc>
          <w:tcPr>
            <w:tcW w:w="6408" w:type="dxa"/>
            <w:tcBorders>
              <w:top w:val="single" w:sz="4" w:space="0" w:color="auto"/>
              <w:left w:val="single" w:sz="4" w:space="0" w:color="auto"/>
              <w:bottom w:val="single" w:sz="4" w:space="0" w:color="auto"/>
              <w:right w:val="single" w:sz="4" w:space="0" w:color="auto"/>
            </w:tcBorders>
          </w:tcPr>
          <w:p w14:paraId="68A60E75" w14:textId="77777777" w:rsidR="00030CB4" w:rsidRPr="00026E55" w:rsidRDefault="00030CB4" w:rsidP="00030CB4">
            <w:pPr>
              <w:pStyle w:val="Luettelokappale"/>
              <w:numPr>
                <w:ilvl w:val="0"/>
                <w:numId w:val="10"/>
              </w:numPr>
              <w:spacing w:after="0" w:line="240" w:lineRule="auto"/>
              <w:ind w:left="357" w:hanging="357"/>
              <w:rPr>
                <w:rFonts w:ascii="Tahoma" w:hAnsi="Tahoma" w:cs="Tahoma"/>
                <w:snapToGrid w:val="0"/>
                <w:sz w:val="20"/>
                <w:szCs w:val="20"/>
              </w:rPr>
            </w:pPr>
            <w:r w:rsidRPr="00026E55">
              <w:rPr>
                <w:rFonts w:ascii="Tahoma" w:hAnsi="Tahoma" w:cs="Tahoma"/>
                <w:snapToGrid w:val="0"/>
                <w:sz w:val="20"/>
                <w:szCs w:val="20"/>
              </w:rPr>
              <w:t>osaa laadunhallinnan periaatteet ja osaa soveltaa niitä työssään.</w:t>
            </w:r>
          </w:p>
          <w:p w14:paraId="4585853B" w14:textId="77777777" w:rsidR="00030CB4" w:rsidRPr="00026E55" w:rsidRDefault="00030CB4" w:rsidP="00030CB4">
            <w:pPr>
              <w:pStyle w:val="Luettelokappale"/>
              <w:numPr>
                <w:ilvl w:val="0"/>
                <w:numId w:val="10"/>
              </w:numPr>
              <w:spacing w:after="0" w:line="240" w:lineRule="auto"/>
              <w:ind w:left="357" w:hanging="357"/>
              <w:rPr>
                <w:rFonts w:ascii="Tahoma" w:hAnsi="Tahoma" w:cs="Tahoma"/>
                <w:snapToGrid w:val="0"/>
                <w:sz w:val="20"/>
                <w:szCs w:val="20"/>
              </w:rPr>
            </w:pPr>
            <w:r w:rsidRPr="00026E55">
              <w:rPr>
                <w:rFonts w:ascii="Tahoma" w:hAnsi="Tahoma" w:cs="Tahoma"/>
                <w:snapToGrid w:val="0"/>
                <w:sz w:val="20"/>
                <w:szCs w:val="20"/>
              </w:rPr>
              <w:t>osaa soveltaa tutkimus- ja kehittämisosaamistaan suun terveydenhoitotyön kehittämisessä</w:t>
            </w:r>
          </w:p>
          <w:p w14:paraId="2E550366" w14:textId="77777777" w:rsidR="00030CB4" w:rsidRPr="00026E55" w:rsidRDefault="00030CB4" w:rsidP="00030CB4">
            <w:pPr>
              <w:pStyle w:val="Luettelokappale"/>
              <w:numPr>
                <w:ilvl w:val="0"/>
                <w:numId w:val="10"/>
              </w:numPr>
              <w:spacing w:after="0" w:line="240" w:lineRule="auto"/>
              <w:ind w:left="357" w:hanging="357"/>
              <w:rPr>
                <w:rFonts w:ascii="Tahoma" w:hAnsi="Tahoma" w:cs="Tahoma"/>
                <w:snapToGrid w:val="0"/>
                <w:sz w:val="20"/>
                <w:szCs w:val="20"/>
              </w:rPr>
            </w:pPr>
            <w:r w:rsidRPr="00026E55">
              <w:rPr>
                <w:rFonts w:ascii="Tahoma" w:hAnsi="Tahoma" w:cs="Tahoma"/>
                <w:snapToGrid w:val="0"/>
                <w:sz w:val="20"/>
                <w:szCs w:val="20"/>
              </w:rPr>
              <w:t>ymmärtää lähijohtamisen periaatteet ja osaa soveltaa niitä työssään</w:t>
            </w:r>
          </w:p>
          <w:p w14:paraId="0E70272A" w14:textId="77777777" w:rsidR="00030CB4" w:rsidRPr="00026E55" w:rsidRDefault="00030CB4" w:rsidP="00030CB4">
            <w:pPr>
              <w:pStyle w:val="Luettelokappale"/>
              <w:numPr>
                <w:ilvl w:val="0"/>
                <w:numId w:val="10"/>
              </w:numPr>
              <w:spacing w:after="0" w:line="240" w:lineRule="auto"/>
              <w:ind w:left="357" w:hanging="357"/>
              <w:rPr>
                <w:rFonts w:ascii="Tahoma" w:hAnsi="Tahoma" w:cs="Tahoma"/>
                <w:snapToGrid w:val="0"/>
                <w:sz w:val="20"/>
                <w:szCs w:val="20"/>
              </w:rPr>
            </w:pPr>
            <w:r w:rsidRPr="00026E55">
              <w:rPr>
                <w:rFonts w:ascii="Tahoma" w:hAnsi="Tahoma" w:cs="Tahoma"/>
                <w:snapToGrid w:val="0"/>
                <w:sz w:val="20"/>
                <w:szCs w:val="20"/>
              </w:rPr>
              <w:t>osaa yhdistää yrittäjämäisen toimintatavan osaksi asiantuntijuuttaan ja urasuunnitteluaan</w:t>
            </w:r>
          </w:p>
          <w:p w14:paraId="7F9B3831" w14:textId="77777777" w:rsidR="00030CB4" w:rsidRPr="00026E55" w:rsidRDefault="00030CB4" w:rsidP="00030CB4">
            <w:pPr>
              <w:pStyle w:val="Luettelokappale"/>
              <w:numPr>
                <w:ilvl w:val="0"/>
                <w:numId w:val="10"/>
              </w:numPr>
              <w:spacing w:after="0" w:line="240" w:lineRule="auto"/>
              <w:ind w:left="357" w:hanging="357"/>
              <w:rPr>
                <w:rFonts w:ascii="Tahoma" w:hAnsi="Tahoma" w:cs="Tahoma"/>
                <w:snapToGrid w:val="0"/>
                <w:sz w:val="20"/>
                <w:szCs w:val="20"/>
              </w:rPr>
            </w:pPr>
            <w:r w:rsidRPr="00026E55">
              <w:rPr>
                <w:rFonts w:ascii="Tahoma" w:hAnsi="Tahoma" w:cs="Tahoma"/>
                <w:snapToGrid w:val="0"/>
                <w:sz w:val="20"/>
                <w:szCs w:val="20"/>
              </w:rPr>
              <w:t xml:space="preserve">tietää hyvinvointiyrittäjyyden lähtökohdat ja yrityksen perustamismenettelyn </w:t>
            </w:r>
          </w:p>
          <w:p w14:paraId="3975FBC7" w14:textId="00C7AA03" w:rsidR="00030CB4" w:rsidRPr="00685F5F" w:rsidRDefault="00030CB4" w:rsidP="00030CB4">
            <w:pPr>
              <w:pStyle w:val="Luettelokappale"/>
              <w:numPr>
                <w:ilvl w:val="0"/>
                <w:numId w:val="1"/>
              </w:numPr>
              <w:spacing w:after="0" w:line="240" w:lineRule="auto"/>
              <w:rPr>
                <w:rFonts w:ascii="Tahoma" w:eastAsia="Times New Roman" w:hAnsi="Tahoma" w:cs="Tahoma"/>
                <w:sz w:val="20"/>
                <w:szCs w:val="20"/>
              </w:rPr>
            </w:pPr>
            <w:r w:rsidRPr="00026E55">
              <w:rPr>
                <w:rFonts w:ascii="Tahoma" w:hAnsi="Tahoma" w:cs="Tahoma"/>
                <w:snapToGrid w:val="0"/>
                <w:sz w:val="20"/>
                <w:szCs w:val="20"/>
              </w:rPr>
              <w:t>ymmärtää eettisesti toimivan terveysalan yritysidean kehittämisen perusteet</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526956"/>
    <w:multiLevelType w:val="hybridMultilevel"/>
    <w:tmpl w:val="A72CAE28"/>
    <w:lvl w:ilvl="0" w:tplc="E092BAA4">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5"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7"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8"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9" w15:restartNumberingAfterBreak="0">
    <w:nsid w:val="52E556CB"/>
    <w:multiLevelType w:val="hybridMultilevel"/>
    <w:tmpl w:val="DF4277BA"/>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11" w15:restartNumberingAfterBreak="0">
    <w:nsid w:val="73F25F18"/>
    <w:multiLevelType w:val="hybridMultilevel"/>
    <w:tmpl w:val="3E6E7250"/>
    <w:lvl w:ilvl="0" w:tplc="06A68522">
      <w:start w:val="6"/>
      <w:numFmt w:val="bullet"/>
      <w:pStyle w:val="Groteskilista"/>
      <w:lvlText w:val="-"/>
      <w:lvlJc w:val="left"/>
      <w:pPr>
        <w:ind w:left="3904" w:hanging="360"/>
      </w:pPr>
      <w:rPr>
        <w:rFonts w:ascii="Times New Roman" w:eastAsia="Times New Roman" w:hAnsi="Times New Roman" w:cs="Times New Roman" w:hint="default"/>
        <w:color w:val="auto"/>
      </w:rPr>
    </w:lvl>
    <w:lvl w:ilvl="1" w:tplc="040B0003">
      <w:start w:val="1"/>
      <w:numFmt w:val="bullet"/>
      <w:lvlText w:val="o"/>
      <w:lvlJc w:val="left"/>
      <w:pPr>
        <w:ind w:left="4624" w:hanging="360"/>
      </w:pPr>
      <w:rPr>
        <w:rFonts w:ascii="Courier New" w:hAnsi="Courier New" w:cs="Courier New" w:hint="default"/>
      </w:rPr>
    </w:lvl>
    <w:lvl w:ilvl="2" w:tplc="040B0005" w:tentative="1">
      <w:start w:val="1"/>
      <w:numFmt w:val="bullet"/>
      <w:lvlText w:val=""/>
      <w:lvlJc w:val="left"/>
      <w:pPr>
        <w:ind w:left="5344" w:hanging="360"/>
      </w:pPr>
      <w:rPr>
        <w:rFonts w:ascii="Wingdings" w:hAnsi="Wingdings" w:hint="default"/>
      </w:rPr>
    </w:lvl>
    <w:lvl w:ilvl="3" w:tplc="040B0001" w:tentative="1">
      <w:start w:val="1"/>
      <w:numFmt w:val="bullet"/>
      <w:lvlText w:val=""/>
      <w:lvlJc w:val="left"/>
      <w:pPr>
        <w:ind w:left="6064" w:hanging="360"/>
      </w:pPr>
      <w:rPr>
        <w:rFonts w:ascii="Symbol" w:hAnsi="Symbol" w:hint="default"/>
      </w:rPr>
    </w:lvl>
    <w:lvl w:ilvl="4" w:tplc="040B0003" w:tentative="1">
      <w:start w:val="1"/>
      <w:numFmt w:val="bullet"/>
      <w:lvlText w:val="o"/>
      <w:lvlJc w:val="left"/>
      <w:pPr>
        <w:ind w:left="6784" w:hanging="360"/>
      </w:pPr>
      <w:rPr>
        <w:rFonts w:ascii="Courier New" w:hAnsi="Courier New" w:cs="Courier New" w:hint="default"/>
      </w:rPr>
    </w:lvl>
    <w:lvl w:ilvl="5" w:tplc="040B0005" w:tentative="1">
      <w:start w:val="1"/>
      <w:numFmt w:val="bullet"/>
      <w:lvlText w:val=""/>
      <w:lvlJc w:val="left"/>
      <w:pPr>
        <w:ind w:left="7504" w:hanging="360"/>
      </w:pPr>
      <w:rPr>
        <w:rFonts w:ascii="Wingdings" w:hAnsi="Wingdings" w:hint="default"/>
      </w:rPr>
    </w:lvl>
    <w:lvl w:ilvl="6" w:tplc="040B0001" w:tentative="1">
      <w:start w:val="1"/>
      <w:numFmt w:val="bullet"/>
      <w:lvlText w:val=""/>
      <w:lvlJc w:val="left"/>
      <w:pPr>
        <w:ind w:left="8224" w:hanging="360"/>
      </w:pPr>
      <w:rPr>
        <w:rFonts w:ascii="Symbol" w:hAnsi="Symbol" w:hint="default"/>
      </w:rPr>
    </w:lvl>
    <w:lvl w:ilvl="7" w:tplc="040B0003" w:tentative="1">
      <w:start w:val="1"/>
      <w:numFmt w:val="bullet"/>
      <w:lvlText w:val="o"/>
      <w:lvlJc w:val="left"/>
      <w:pPr>
        <w:ind w:left="8944" w:hanging="360"/>
      </w:pPr>
      <w:rPr>
        <w:rFonts w:ascii="Courier New" w:hAnsi="Courier New" w:cs="Courier New" w:hint="default"/>
      </w:rPr>
    </w:lvl>
    <w:lvl w:ilvl="8" w:tplc="040B0005" w:tentative="1">
      <w:start w:val="1"/>
      <w:numFmt w:val="bullet"/>
      <w:lvlText w:val=""/>
      <w:lvlJc w:val="left"/>
      <w:pPr>
        <w:ind w:left="9664" w:hanging="360"/>
      </w:pPr>
      <w:rPr>
        <w:rFonts w:ascii="Wingdings" w:hAnsi="Wingdings" w:hint="default"/>
      </w:rPr>
    </w:lvl>
  </w:abstractNum>
  <w:num w:numId="1">
    <w:abstractNumId w:val="5"/>
  </w:num>
  <w:num w:numId="2">
    <w:abstractNumId w:val="10"/>
  </w:num>
  <w:num w:numId="3">
    <w:abstractNumId w:val="4"/>
  </w:num>
  <w:num w:numId="4">
    <w:abstractNumId w:val="8"/>
  </w:num>
  <w:num w:numId="5">
    <w:abstractNumId w:val="1"/>
  </w:num>
  <w:num w:numId="6">
    <w:abstractNumId w:val="2"/>
  </w:num>
  <w:num w:numId="7">
    <w:abstractNumId w:val="7"/>
  </w:num>
  <w:num w:numId="8">
    <w:abstractNumId w:val="6"/>
  </w:num>
  <w:num w:numId="9">
    <w:abstractNumId w:val="11"/>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0CB4"/>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85F5F"/>
    <w:rsid w:val="006929BD"/>
    <w:rsid w:val="00693CD4"/>
    <w:rsid w:val="00694D8C"/>
    <w:rsid w:val="00695916"/>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319"/>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358F3"/>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rsid w:val="000E7298"/>
    <w:rPr>
      <w:rFonts w:ascii="Calibri" w:eastAsiaTheme="majorEastAsia" w:hAnsi="Calibri" w:cstheme="majorBidi"/>
      <w:b/>
      <w:bCs/>
      <w:sz w:val="24"/>
    </w:rPr>
  </w:style>
  <w:style w:type="paragraph" w:styleId="Luettelokappale">
    <w:name w:val="List Paragraph"/>
    <w:aliases w:val="Lista"/>
    <w:basedOn w:val="Normaali"/>
    <w:uiPriority w:val="1"/>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 w:type="paragraph" w:customStyle="1" w:styleId="Groteskilista">
    <w:name w:val="Groteskilista"/>
    <w:basedOn w:val="Normaali"/>
    <w:rsid w:val="00685F5F"/>
    <w:pPr>
      <w:numPr>
        <w:numId w:val="9"/>
      </w:numPr>
      <w:autoSpaceDE w:val="0"/>
      <w:autoSpaceDN w:val="0"/>
      <w:adjustRightInd w:val="0"/>
      <w:ind w:left="357" w:hanging="357"/>
    </w:pPr>
    <w:rPr>
      <w:rFonts w:asciiTheme="majorHAnsi" w:hAnsiTheme="majorHAnsi" w:cstheme="majorHAnsi"/>
      <w:color w:val="000000"/>
      <w:sz w:val="20"/>
      <w:szCs w:val="20"/>
    </w:rPr>
  </w:style>
  <w:style w:type="paragraph" w:styleId="Yltunniste">
    <w:name w:val="header"/>
    <w:basedOn w:val="Normaali"/>
    <w:link w:val="YltunnisteChar"/>
    <w:uiPriority w:val="99"/>
    <w:unhideWhenUsed/>
    <w:rsid w:val="00030CB4"/>
    <w:pPr>
      <w:tabs>
        <w:tab w:val="center" w:pos="4513"/>
        <w:tab w:val="right" w:pos="9026"/>
      </w:tabs>
    </w:pPr>
    <w:rPr>
      <w:rFonts w:asciiTheme="minorHAnsi" w:eastAsiaTheme="minorHAnsi" w:hAnsiTheme="minorHAnsi" w:cstheme="minorBidi"/>
      <w:sz w:val="22"/>
      <w:szCs w:val="22"/>
    </w:rPr>
  </w:style>
  <w:style w:type="character" w:customStyle="1" w:styleId="YltunnisteChar">
    <w:name w:val="Ylätunniste Char"/>
    <w:basedOn w:val="Kappaleenoletusfontti"/>
    <w:link w:val="Yltunniste"/>
    <w:uiPriority w:val="99"/>
    <w:rsid w:val="00030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1377</Words>
  <Characters>11155</Characters>
  <Application>Microsoft Office Word</Application>
  <DocSecurity>0</DocSecurity>
  <Lines>92</Lines>
  <Paragraphs>25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4</cp:revision>
  <dcterms:created xsi:type="dcterms:W3CDTF">2022-10-11T10:38:00Z</dcterms:created>
  <dcterms:modified xsi:type="dcterms:W3CDTF">2023-02-20T08:32:00Z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