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ECB1" w14:textId="77777777" w:rsidR="008A3C8E" w:rsidRPr="008A3C8E" w:rsidRDefault="008A3C8E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8A3C8E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Competence objectives</w:t>
      </w:r>
    </w:p>
    <w:p w14:paraId="5DB7B00D" w14:textId="6F3E4C18" w:rsidR="005B457C" w:rsidRPr="004C1F55" w:rsidRDefault="004C1F55" w:rsidP="00BE211B">
      <w:pPr>
        <w:rPr>
          <w:rFonts w:ascii="Tahoma" w:eastAsia="Tahoma" w:hAnsi="Tahoma" w:cs="Tahoma"/>
          <w:sz w:val="20"/>
          <w:szCs w:val="20"/>
          <w:lang w:val="en-US"/>
        </w:rPr>
      </w:pPr>
      <w:r w:rsidRPr="004C1F55">
        <w:rPr>
          <w:rFonts w:ascii="Tahoma" w:hAnsi="Tahoma" w:cs="Tahoma"/>
          <w:sz w:val="20"/>
          <w:szCs w:val="20"/>
          <w:lang w:val="en-US"/>
        </w:rPr>
        <w:t>Bachelor of Health Care</w:t>
      </w:r>
      <w:r w:rsidR="008A3C8E" w:rsidRPr="004C1F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A3C8E" w:rsidRPr="004C1F55">
        <w:rPr>
          <w:rFonts w:ascii="Tahoma" w:hAnsi="Tahoma" w:cs="Tahoma"/>
          <w:color w:val="000000"/>
          <w:sz w:val="20"/>
          <w:szCs w:val="20"/>
          <w:lang w:val="en-US"/>
        </w:rPr>
        <w:t>education is of European and Finnish level 6 (</w:t>
      </w:r>
      <w:hyperlink r:id="rId8" w:history="1">
        <w:r w:rsidR="008A3C8E" w:rsidRPr="004C1F55">
          <w:rPr>
            <w:rStyle w:val="Hyperlinkki"/>
            <w:rFonts w:ascii="Tahoma" w:hAnsi="Tahoma" w:cs="Tahoma"/>
            <w:sz w:val="20"/>
            <w:szCs w:val="20"/>
            <w:lang w:val="en-US"/>
          </w:rPr>
          <w:t>National reference framework</w:t>
        </w:r>
      </w:hyperlink>
      <w:r w:rsidR="008A3C8E" w:rsidRPr="004C1F55">
        <w:rPr>
          <w:rFonts w:ascii="Tahoma" w:hAnsi="Tahoma" w:cs="Tahoma"/>
          <w:color w:val="000000"/>
          <w:sz w:val="20"/>
          <w:szCs w:val="20"/>
          <w:lang w:val="en-US"/>
        </w:rPr>
        <w:t>).</w:t>
      </w:r>
    </w:p>
    <w:tbl>
      <w:tblPr>
        <w:tblW w:w="92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30"/>
      </w:tblGrid>
      <w:tr w:rsidR="00A10F15" w:rsidRPr="00A10F15" w14:paraId="0EC2FDF6" w14:textId="77777777" w:rsidTr="00A10F15">
        <w:trPr>
          <w:trHeight w:val="243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FC65515" w14:textId="77777777" w:rsidR="00A10F15" w:rsidRPr="008A3C8E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B867005" w14:textId="1F9FC7F2" w:rsidR="00A10F15" w:rsidRPr="00A10F15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Competence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area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DBEB51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23056FF6" w14:textId="42F1276B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Competence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at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level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6</w:t>
            </w: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  <w:p w14:paraId="388216A1" w14:textId="77777777" w:rsidR="000510D9" w:rsidRDefault="000510D9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7F843A71" w14:textId="28356236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A10F15" w:rsidRPr="00271581" w14:paraId="6AB2AAD6" w14:textId="77777777" w:rsidTr="00A10F15">
        <w:trPr>
          <w:trHeight w:val="141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B7D9EDE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6995720C" w14:textId="22A4E8A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Knowledge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3827BC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55B63DFC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 good command of comprehensive and advanced knowledge of his/her field, involving a critical understanding and appraisal of theories, key concepts,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methods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and principles.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Understands the extent and boundaries of professional functions and/or disciplines. </w:t>
            </w:r>
          </w:p>
          <w:p w14:paraId="25453298" w14:textId="0FD411A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271581" w14:paraId="217D33B5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7C9A59A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350C7BB" w14:textId="5D54C2FF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Skills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application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BB1C134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D0B31AB" w14:textId="4B74D23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</w:t>
            </w:r>
            <w:proofErr w:type="spell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professional,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scientific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or artistic field to solve complex or unpredictable problems.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271581" w14:paraId="12354A4C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0E61515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B355E46" w14:textId="2DE2CD2D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Responsibility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, Management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Entrepreneurship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B24F39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96E9420" w14:textId="4D4DC25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Works independently in expert tasks of the field and in international co-operation or as an entrepreneur.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Manages complex professional activities or projects.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Can make decisions in unpredictable operating environments.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271581" w14:paraId="10AFEE94" w14:textId="77777777" w:rsidTr="00A10F15">
        <w:trPr>
          <w:trHeight w:val="488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E45FE06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17001B4" w14:textId="45C3A96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Evaluation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9172E34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78AC2A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In addition to evaluating and developing his/her own competence, he/she takes responsibility for the development of individuals and groups.  </w:t>
            </w:r>
          </w:p>
          <w:p w14:paraId="60FE23CA" w14:textId="69547148" w:rsidR="00A773E8" w:rsidRPr="00A10F15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271581" w14:paraId="75D5C49C" w14:textId="77777777" w:rsidTr="00A10F15">
        <w:trPr>
          <w:trHeight w:val="2434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04B3A01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48605059" w14:textId="5E2F1BD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Self-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develoment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and Lifelong Learning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96BF2F8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31F74318" w14:textId="16B0D870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the ability for lifelong learning.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Considers communal and ethical aspects when dealing with different people in learning and working communities and other groups and networks.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to a good standard verbally and in writing in his/her mother tongue both to audiences in the field and outside it.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and interacts in the second national language and is capable of international communication and interaction in his/her field in at least one foreign language.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</w:tbl>
    <w:p w14:paraId="732A2846" w14:textId="77777777" w:rsidR="00A10F15" w:rsidRPr="00A10F15" w:rsidRDefault="00A10F15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19C3509A" w14:textId="485BC52E" w:rsidR="00906322" w:rsidRPr="00613374" w:rsidRDefault="00906322" w:rsidP="61205BC3">
      <w:pPr>
        <w:spacing w:beforeAutospacing="1" w:afterAutospacing="1" w:line="24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03A857A5" w14:textId="77777777" w:rsidR="00906322" w:rsidRPr="00613374" w:rsidRDefault="00906322">
      <w:pPr>
        <w:spacing w:after="160" w:line="259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61337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43DBBA9A" w14:textId="77777777" w:rsidR="008A3C8E" w:rsidRPr="00BE211B" w:rsidRDefault="008A3C8E" w:rsidP="513A8252">
      <w:pPr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BE211B">
        <w:rPr>
          <w:rFonts w:ascii="Tahoma" w:eastAsia="Tahoma" w:hAnsi="Tahoma" w:cs="Tahoma"/>
          <w:b/>
          <w:bCs/>
          <w:sz w:val="24"/>
          <w:szCs w:val="24"/>
          <w:lang w:val="en-US"/>
        </w:rPr>
        <w:lastRenderedPageBreak/>
        <w:t>Competencies</w:t>
      </w:r>
    </w:p>
    <w:p w14:paraId="20DF731B" w14:textId="226C62E6" w:rsidR="513A8252" w:rsidRPr="00BE211B" w:rsidRDefault="00BE211B" w:rsidP="00BE211B">
      <w:pPr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</w:pP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The competence profile of a </w:t>
      </w:r>
      <w:r w:rsidR="004C1F55" w:rsidRPr="004C1F55">
        <w:rPr>
          <w:rFonts w:ascii="Tahoma" w:hAnsi="Tahoma" w:cs="Tahoma"/>
          <w:sz w:val="20"/>
          <w:szCs w:val="20"/>
          <w:lang w:val="en-US"/>
        </w:rPr>
        <w:t xml:space="preserve">Bachelor of Health Care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consists of general and degree-specific competencies. For the general competencies, Savonia University of Applied Sciences follows the recommendations of Arene (the Rectors’ Conference of Finnish </w:t>
      </w:r>
      <w:proofErr w:type="spellStart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Universitites</w:t>
      </w:r>
      <w:proofErr w:type="spellEnd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of Applied Sciences).</w:t>
      </w: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61205BC3" w:rsidRPr="00271581" w14:paraId="445EFE2C" w14:textId="77777777" w:rsidTr="00D4256D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261A3497" w14:textId="07C42F6D" w:rsidR="61205BC3" w:rsidRDefault="61205BC3">
            <w:r w:rsidRPr="00BE211B">
              <w:rPr>
                <w:lang w:val="en-US"/>
              </w:rPr>
              <w:br/>
            </w:r>
            <w:proofErr w:type="spellStart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Generic</w:t>
            </w:r>
            <w:proofErr w:type="spellEnd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 xml:space="preserve"> </w:t>
            </w:r>
            <w:proofErr w:type="spellStart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competences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67294EF2" w14:textId="17B8F4B7" w:rsidR="61205BC3" w:rsidRPr="00D16C03" w:rsidRDefault="61205BC3">
            <w:pPr>
              <w:rPr>
                <w:lang w:val="en-US"/>
              </w:rPr>
            </w:pPr>
            <w:r w:rsidRPr="00D16C03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of the competence at level 6</w:t>
            </w:r>
          </w:p>
        </w:tc>
      </w:tr>
      <w:tr w:rsidR="61205BC3" w:rsidRPr="00271581" w14:paraId="6FA88BDC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830D" w14:textId="116F211B" w:rsidR="61205BC3" w:rsidRPr="004A529C" w:rsidRDefault="00613374" w:rsidP="61205BC3">
            <w:pPr>
              <w:rPr>
                <w:sz w:val="20"/>
                <w:szCs w:val="20"/>
              </w:rPr>
            </w:pPr>
            <w:r w:rsidRPr="004A52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Learning to </w:t>
            </w:r>
            <w:proofErr w:type="spellStart"/>
            <w:r w:rsidRPr="004A52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learn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FCA1" w14:textId="4ACE77B1" w:rsidR="61205BC3" w:rsidRPr="008F5597" w:rsidRDefault="008F5597" w:rsidP="008F5597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The graduating student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recognises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strengths and development areas of their competence and learning methods, and they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opportuni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-ties communities and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digitalisation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provide in their learning.</w:t>
            </w:r>
            <w:r w:rsidRPr="008F5597">
              <w:rPr>
                <w:lang w:val="en-US"/>
              </w:rPr>
              <w:t xml:space="preserve"> </w:t>
            </w:r>
          </w:p>
          <w:p w14:paraId="01FE6753" w14:textId="471AB6A2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Assesses and develops their </w:t>
            </w:r>
            <w:proofErr w:type="spell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compe-tence</w:t>
            </w:r>
            <w:proofErr w:type="spell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and learning methods in different learning environments.</w:t>
            </w:r>
          </w:p>
          <w:p w14:paraId="17CE9E24" w14:textId="7B05218D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acquire, critically assess and appropriately apply the national and international knowledge base and practices of their field.</w:t>
            </w:r>
          </w:p>
          <w:p w14:paraId="2B1B4317" w14:textId="5921E332" w:rsidR="61205BC3" w:rsidRPr="00EF0961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Also takes responsibility for group learning and sharing what has been learned.</w:t>
            </w:r>
            <w:r w:rsidR="61205BC3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61205BC3" w:rsidRPr="00271581" w14:paraId="3B515821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D8F0" w14:textId="3C9D7DA7" w:rsidR="61205BC3" w:rsidRDefault="00613374" w:rsidP="61205BC3"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Operating in a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workplace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31C0" w14:textId="77777777" w:rsidR="00EF0961" w:rsidRPr="00EF0961" w:rsidRDefault="00EF0961" w:rsidP="00EF0961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has versatile working life skills and </w:t>
            </w: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work communities of their field.</w:t>
            </w:r>
          </w:p>
          <w:p w14:paraId="49BB4E7B" w14:textId="75D3151D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constructively in a work community and promotes their own and their work community’s well-being.</w:t>
            </w:r>
          </w:p>
          <w:p w14:paraId="31BE9A54" w14:textId="061C0C59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act professionally in communication and interaction situations at a workplace.</w:t>
            </w:r>
          </w:p>
          <w:p w14:paraId="78335397" w14:textId="4493B67C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opportunities offered by technology and </w:t>
            </w: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digitalisation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 their work.</w:t>
            </w:r>
          </w:p>
          <w:p w14:paraId="641AC835" w14:textId="5003699A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complexity of changing working life and their own resilience in changing working life situations.</w:t>
            </w:r>
          </w:p>
          <w:p w14:paraId="514D4EF0" w14:textId="4C90A47A" w:rsidR="61205BC3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Has capabilities for an entrepreneurial approach.</w:t>
            </w:r>
          </w:p>
        </w:tc>
      </w:tr>
      <w:tr w:rsidR="00D4256D" w:rsidRPr="00271581" w14:paraId="4DC81999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C7365" w14:textId="58B61054" w:rsidR="00D4256D" w:rsidRPr="61205BC3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Ethics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3700" w14:textId="77777777" w:rsidR="00674F73" w:rsidRPr="005C11EC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adheres to the ethical principles and values of their field of profession, taking the principles of equality and non-discrimination into account.</w:t>
            </w:r>
          </w:p>
          <w:p w14:paraId="520BEB14" w14:textId="50935295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take responsibility for their own actions and their consequences and reflects on them in accordance with the ethical principles and values of their field.</w:t>
            </w:r>
          </w:p>
          <w:p w14:paraId="2E46321D" w14:textId="67D3949F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Takes others into account and pro-motes equality and non-discrimination.</w:t>
            </w:r>
          </w:p>
          <w:p w14:paraId="55FD3FD3" w14:textId="122588FA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 into account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realisation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of diversity and accessibility in their actions.</w:t>
            </w:r>
          </w:p>
          <w:p w14:paraId="6F8671D1" w14:textId="5DB7A4E6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lastRenderedPageBreak/>
              <w:t xml:space="preserve">Understands the principles of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respon-sible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conduct of research and adheres to them.</w:t>
            </w:r>
          </w:p>
          <w:p w14:paraId="1773BA8B" w14:textId="2BCE04FB" w:rsidR="00D4256D" w:rsidRPr="00674F73" w:rsidRDefault="00674F73" w:rsidP="00674F73">
            <w:pPr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influence society based on ethical values. </w:t>
            </w:r>
          </w:p>
        </w:tc>
      </w:tr>
      <w:tr w:rsidR="00D4256D" w:rsidRPr="00271581" w14:paraId="2228B1AD" w14:textId="77777777" w:rsidTr="00D4256D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0523" w14:textId="306EC5E2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lastRenderedPageBreak/>
              <w:t>Sustainable</w:t>
            </w:r>
            <w:proofErr w:type="spellEnd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development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A74E0" w14:textId="77777777" w:rsidR="00674F73" w:rsidRPr="00674F73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familiar with the principles of sustainable development, promotes their implementation and acts responsibly as a professional and a member of society.</w:t>
            </w:r>
          </w:p>
          <w:p w14:paraId="65E9A554" w14:textId="6D192DFF" w:rsidR="00AA103A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use information related to their field in finding, implementing and establishing sustainable solutions and operating models.</w:t>
            </w:r>
          </w:p>
          <w:p w14:paraId="42D9DDEC" w14:textId="574AC1BF" w:rsidR="00D4256D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sustainability challenges, their interdependencies and the various aspects of issues and problems.</w:t>
            </w:r>
          </w:p>
        </w:tc>
      </w:tr>
      <w:tr w:rsidR="00D4256D" w:rsidRPr="00271581" w14:paraId="2F9C2085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3734" w14:textId="207E7326" w:rsidR="00D4256D" w:rsidRDefault="00613374" w:rsidP="00D4256D">
            <w:pPr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Internationality and multiculturalism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9A98" w14:textId="77777777" w:rsidR="005C11EC" w:rsidRPr="00A7099E" w:rsidRDefault="005C11EC" w:rsidP="005C11EC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multicultural and international operating environments and networks.</w:t>
            </w:r>
          </w:p>
          <w:p w14:paraId="71EE0FC2" w14:textId="4014B56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Is familiar with the impacts of their cultural background on their activities and </w:t>
            </w: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operating methods that take multiculturalism into account in their work community.</w:t>
            </w:r>
          </w:p>
          <w:p w14:paraId="54DF6828" w14:textId="78C3F50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monitor and </w:t>
            </w:r>
            <w:proofErr w:type="spell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</w:t>
            </w:r>
            <w:proofErr w:type="spell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international development of their field in their work.</w:t>
            </w:r>
          </w:p>
          <w:p w14:paraId="34616A69" w14:textId="2F6776D9" w:rsidR="00D4256D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communicate internationally in their work tasks.</w:t>
            </w:r>
          </w:p>
        </w:tc>
      </w:tr>
      <w:tr w:rsidR="00D4256D" w:rsidRPr="00271581" w14:paraId="6EC0F8D6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BDB28" w14:textId="10871E51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Proactive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AB8F" w14:textId="77777777" w:rsidR="00A7099E" w:rsidRPr="00A7099E" w:rsidRDefault="00A7099E" w:rsidP="00A7099E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solutions that anticipate the future of their own field, applying existing knowledge and research and development methods.</w:t>
            </w:r>
          </w:p>
          <w:p w14:paraId="3AE486B1" w14:textId="77777777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Solves problem situations creatively and reforms operating methods together with others.</w:t>
            </w:r>
          </w:p>
          <w:p w14:paraId="6C100226" w14:textId="1A46F7A9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in projects in cooperation with actors of different fields.</w:t>
            </w:r>
          </w:p>
          <w:p w14:paraId="3D2F6171" w14:textId="6C4E75AC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apply existing knowledge in the field in development and </w:t>
            </w:r>
            <w:proofErr w:type="spell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re-search and development methods.</w:t>
            </w:r>
          </w:p>
          <w:p w14:paraId="48BFA7E2" w14:textId="738E2BA0" w:rsidR="00D4256D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seek customer-oriented, sustainable and economically viable solutions, anticipating the future of their field.</w:t>
            </w:r>
          </w:p>
        </w:tc>
      </w:tr>
    </w:tbl>
    <w:p w14:paraId="5B410BEB" w14:textId="6535EC69" w:rsidR="005B457C" w:rsidRPr="00A7099E" w:rsidRDefault="61205BC3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t xml:space="preserve"> </w:t>
      </w:r>
    </w:p>
    <w:p w14:paraId="60BB652A" w14:textId="47AB0551" w:rsidR="00956707" w:rsidRPr="00A7099E" w:rsidRDefault="00956707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</w:p>
    <w:p w14:paraId="06F7CCD8" w14:textId="77777777" w:rsidR="00956707" w:rsidRPr="00A7099E" w:rsidRDefault="00956707">
      <w:pPr>
        <w:spacing w:after="160" w:line="259" w:lineRule="auto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br w:type="page"/>
      </w:r>
    </w:p>
    <w:p w14:paraId="6FFB449E" w14:textId="32222FD3" w:rsidR="00956707" w:rsidRDefault="00956707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GB"/>
        </w:rPr>
      </w:pPr>
    </w:p>
    <w:p w14:paraId="64917E9A" w14:textId="77777777" w:rsidR="004A529C" w:rsidRDefault="004A529C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GB"/>
        </w:rPr>
      </w:pPr>
    </w:p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7065"/>
      </w:tblGrid>
      <w:tr w:rsidR="000510D9" w14:paraId="329AFD47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ADC4"/>
            <w:hideMark/>
          </w:tcPr>
          <w:p w14:paraId="2DFBF784" w14:textId="66C66208" w:rsidR="000510D9" w:rsidRPr="00271581" w:rsidRDefault="00271581">
            <w:pPr>
              <w:spacing w:before="240"/>
              <w:rPr>
                <w:rFonts w:ascii="Tahoma" w:eastAsiaTheme="minorHAnsi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71581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Specific</w:t>
            </w:r>
            <w:r w:rsidR="000510D9" w:rsidRPr="00271581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0510D9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competences of </w:t>
            </w:r>
            <w:r w:rsidR="000510D9" w:rsidRPr="0027158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a </w:t>
            </w:r>
            <w:r w:rsidRPr="0027158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Dental Hygienist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ADC4"/>
            <w:hideMark/>
          </w:tcPr>
          <w:p w14:paraId="36533EBF" w14:textId="77777777" w:rsidR="000510D9" w:rsidRDefault="000510D9">
            <w:pPr>
              <w:spacing w:before="24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/>
              </w:rPr>
              <w:t>Description of the competence</w:t>
            </w:r>
            <w:r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</w:tr>
      <w:tr w:rsidR="004A529C" w:rsidRPr="00271581" w14:paraId="5D0F8848" w14:textId="77777777" w:rsidTr="004A529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953" w14:textId="77777777" w:rsidR="004A529C" w:rsidRPr="004A529C" w:rsidRDefault="004A529C" w:rsidP="004A529C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b/>
                <w:sz w:val="20"/>
                <w:szCs w:val="20"/>
                <w:lang w:val="en-US"/>
              </w:rPr>
              <w:t>Ethics and professional conduct in oral healthcare</w:t>
            </w:r>
          </w:p>
          <w:p w14:paraId="7EF3691A" w14:textId="503BD901" w:rsidR="004A529C" w:rsidRPr="004A529C" w:rsidRDefault="004A529C" w:rsidP="004A529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394E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act in accordance with the values and ethical principles governing oral healthcare</w:t>
            </w:r>
          </w:p>
          <w:p w14:paraId="10CA2900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respect human dignity and act in a way that does not violate human rights and without prejudice to the characteristics and world view of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each individual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(including age, culture, diversity of background and opportunities, disability, gender, language, religion and sexual orientation).</w:t>
            </w:r>
          </w:p>
          <w:p w14:paraId="3693994D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respect the confidentiality of patient relationships, also outside of work</w:t>
            </w:r>
          </w:p>
          <w:p w14:paraId="576CF092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respect the patients' right to self-determination, patients'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choices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informed consent </w:t>
            </w:r>
          </w:p>
          <w:p w14:paraId="0955E377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understand the laws and regulations governing dental hygienists and act in accordance with them</w:t>
            </w:r>
          </w:p>
          <w:p w14:paraId="3F03F837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act in accordance with ethical principles in social media and online communication without damaging the reputation of dental hygienists</w:t>
            </w:r>
          </w:p>
          <w:p w14:paraId="1656215C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evaluate and act immediately upon discovering unethical </w:t>
            </w:r>
            <w:proofErr w:type="spell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behaviours</w:t>
            </w:r>
            <w:proofErr w:type="spell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or dangerous situations</w:t>
            </w:r>
          </w:p>
          <w:p w14:paraId="014A95ED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provide patients with comprehensive and high-quality care </w:t>
            </w:r>
          </w:p>
          <w:p w14:paraId="25664DDC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communicate professionally with patients, their guardians, nurses, and experts from different fields</w:t>
            </w:r>
          </w:p>
          <w:p w14:paraId="60C5C391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act in a patient-</w:t>
            </w:r>
            <w:proofErr w:type="spell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centred</w:t>
            </w:r>
            <w:proofErr w:type="spell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manner and ensure patient safety while making sure that the patient’s interests always come first</w:t>
            </w:r>
          </w:p>
          <w:p w14:paraId="1DEC846E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identify the limits of one's competences by means of self-assessment, critical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feedback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peer assessment</w:t>
            </w: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br/>
              <w:t xml:space="preserve">make independent decisions and </w:t>
            </w:r>
            <w:proofErr w:type="spell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recognise</w:t>
            </w:r>
            <w:proofErr w:type="spell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the need for support and consultation</w:t>
            </w:r>
          </w:p>
          <w:p w14:paraId="15A13D97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demonstrate the ability to evaluate one’s own decisions,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actions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performance and to use that evaluation and any received feedback in a manner that will encourage the continuous development of professional competences</w:t>
            </w:r>
          </w:p>
          <w:p w14:paraId="65C48439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demonstrate a sense of responsibility and ability to justify one’s actions and decisions openly </w:t>
            </w:r>
          </w:p>
          <w:p w14:paraId="3F116BA7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promote a safe,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encouraging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professional working community</w:t>
            </w:r>
          </w:p>
          <w:p w14:paraId="6B7E1554" w14:textId="77777777" w:rsidR="004A529C" w:rsidRP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act as a proactive developer in multidisciplinary teams in the work community by promoting patient care as well as efficiency and productivity </w:t>
            </w:r>
          </w:p>
          <w:p w14:paraId="0EC2AA64" w14:textId="4E1DE243" w:rsidR="004A529C" w:rsidRDefault="004A529C" w:rsidP="004A529C">
            <w:pPr>
              <w:numPr>
                <w:ilvl w:val="0"/>
                <w:numId w:val="31"/>
              </w:num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b</w:t>
            </w: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ehave professionally and demonstrate respect towards expertise when interacting with other members or partners in the work community</w:t>
            </w:r>
          </w:p>
        </w:tc>
      </w:tr>
      <w:tr w:rsidR="004A529C" w:rsidRPr="00271581" w14:paraId="6C28D4E2" w14:textId="77777777" w:rsidTr="004A529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F9A" w14:textId="77777777" w:rsidR="004A529C" w:rsidRPr="00775301" w:rsidRDefault="004A529C" w:rsidP="004A529C">
            <w:pPr>
              <w:spacing w:before="240" w:after="240" w:line="260" w:lineRule="exact"/>
              <w:rPr>
                <w:rFonts w:ascii="Tahoma" w:eastAsia="Times New Roman" w:hAnsi="Tahoma" w:cs="Tahoma"/>
                <w:b/>
                <w:snapToGrid w:val="0"/>
                <w:sz w:val="20"/>
                <w:szCs w:val="20"/>
              </w:rPr>
            </w:pP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lastRenderedPageBreak/>
              <w:t>Evidence-based</w:t>
            </w:r>
            <w:proofErr w:type="spellEnd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oral</w:t>
            </w:r>
            <w:proofErr w:type="spellEnd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healthcare</w:t>
            </w:r>
            <w:proofErr w:type="spellEnd"/>
          </w:p>
          <w:p w14:paraId="37EC16B6" w14:textId="65B8E547" w:rsidR="004A529C" w:rsidRDefault="004A529C" w:rsidP="004A529C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FC5" w14:textId="77777777" w:rsidR="004A529C" w:rsidRP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>use a broad scientific basis in oral healthcare</w:t>
            </w:r>
          </w:p>
          <w:p w14:paraId="5058F6E7" w14:textId="77777777" w:rsidR="004A529C" w:rsidRP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 xml:space="preserve">evaluate the validity of claims regarding different products in the field, primarily in relation to risks, clinical </w:t>
            </w:r>
            <w:proofErr w:type="gramStart"/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>benefits</w:t>
            </w:r>
            <w:proofErr w:type="gramEnd"/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costs</w:t>
            </w:r>
          </w:p>
          <w:p w14:paraId="0004C9B3" w14:textId="77777777" w:rsidR="004A529C" w:rsidRP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>read and critically evaluate scientific publications</w:t>
            </w:r>
          </w:p>
          <w:p w14:paraId="52BA79F8" w14:textId="77777777" w:rsidR="004A529C" w:rsidRP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>share expert knowledge effectively orally, in writing and electronically</w:t>
            </w:r>
          </w:p>
          <w:p w14:paraId="56E603CC" w14:textId="77777777" w:rsidR="004A529C" w:rsidRP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 xml:space="preserve">if necessary, serve as an active agent in treating patients as part of an oral healthcare, </w:t>
            </w:r>
            <w:proofErr w:type="gramStart"/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>healthcare</w:t>
            </w:r>
            <w:proofErr w:type="gramEnd"/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 social care team </w:t>
            </w:r>
          </w:p>
          <w:p w14:paraId="512C959B" w14:textId="77777777" w:rsidR="004A529C" w:rsidRP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 xml:space="preserve">explain the treatment plan as well as the benefits and risks related to planned treatment to patients for them to be able to make informed decisions </w:t>
            </w:r>
          </w:p>
          <w:p w14:paraId="367435BF" w14:textId="77777777" w:rsidR="004A529C" w:rsidRP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 xml:space="preserve">cooperate with patients and their families in all stages of the patient's life, </w:t>
            </w:r>
            <w:proofErr w:type="gramStart"/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>taking into account</w:t>
            </w:r>
            <w:proofErr w:type="gramEnd"/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 xml:space="preserve"> the patient's current understanding of oral health and the promotion of oral health, risk assessment and treatment of oral diseases</w:t>
            </w:r>
          </w:p>
          <w:p w14:paraId="7F857634" w14:textId="77777777" w:rsidR="004A529C" w:rsidRP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proofErr w:type="spellStart"/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>recognise</w:t>
            </w:r>
            <w:proofErr w:type="spellEnd"/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 xml:space="preserve"> dangers in the work environment and know how to act when dangerous situations occur </w:t>
            </w:r>
          </w:p>
          <w:p w14:paraId="0C427255" w14:textId="0BB024EE" w:rsidR="004A529C" w:rsidRDefault="004A529C" w:rsidP="004A52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40" w:after="0" w:line="240" w:lineRule="auto"/>
              <w:contextualSpacing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z w:val="20"/>
                <w:szCs w:val="20"/>
                <w:lang w:val="en-US"/>
              </w:rPr>
              <w:t>evaluate patients’ feedback and make recommendations based on them</w:t>
            </w:r>
          </w:p>
        </w:tc>
      </w:tr>
      <w:tr w:rsidR="004A529C" w:rsidRPr="00271581" w14:paraId="69796C6E" w14:textId="77777777" w:rsidTr="004A529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02B" w14:textId="6A86181A" w:rsidR="004A529C" w:rsidRDefault="004A529C" w:rsidP="004A529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Clinical</w:t>
            </w:r>
            <w:proofErr w:type="spellEnd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oral</w:t>
            </w:r>
            <w:proofErr w:type="spellEnd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healthcare</w:t>
            </w:r>
            <w:proofErr w:type="spellEnd"/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8479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understand the mechanisms of occurrence of dental hard tissue diseases, related risk factors and changes caused by them, as well as have the capacity to plan and implement preventive treatment </w:t>
            </w:r>
          </w:p>
          <w:p w14:paraId="7981E66D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understand the mechanisms of occurrence of connective tissue and peri-implant diseases, related risk factors and changes caused by them, as well as have the capacity to plan and implement preventive treatment </w:t>
            </w:r>
          </w:p>
          <w:p w14:paraId="0771E6F3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understand human anatomy and physiology as it relates to oral healthcare</w:t>
            </w:r>
          </w:p>
          <w:p w14:paraId="37B5BBCA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understand the stages of development and eruption of milk teeth, replacement teeth and permanent teeth </w:t>
            </w:r>
          </w:p>
          <w:p w14:paraId="51F2011C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familiarity with radiation safety and imaging methods used in oral healthcare </w:t>
            </w:r>
          </w:p>
          <w:p w14:paraId="4C216903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act in accordance with occupational safety instructions and recommendations (e.g., vaccination recommendations, hygiene instructions, radiation protection, use and maintenance instructions for various devices)</w:t>
            </w:r>
          </w:p>
          <w:p w14:paraId="38C669C3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maintain a safe work environment (infection control, dangerous chemicals, </w:t>
            </w:r>
            <w:proofErr w:type="spell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ionising</w:t>
            </w:r>
            <w:proofErr w:type="spell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radiation, ergonomics,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equipment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stress management)</w:t>
            </w:r>
          </w:p>
          <w:p w14:paraId="2ED4373B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understand the link between general health, oral health, and diseases, and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take into account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any medical treatment that a patient is undergoing in the planning and implementation of treatment</w:t>
            </w:r>
          </w:p>
          <w:p w14:paraId="1E57A0A9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mastery of medical treatment used in oral healthcare </w:t>
            </w:r>
          </w:p>
          <w:p w14:paraId="22BB3F26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assess the risk of an emergencies in the context of oral healthcare and act appropriately in them </w:t>
            </w:r>
          </w:p>
          <w:p w14:paraId="047260C9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draw up accurate and up-to-date patient information in accordance with legal requirements, using digital tools for the documentation and management of patient information</w:t>
            </w:r>
          </w:p>
          <w:p w14:paraId="32F7B98A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lastRenderedPageBreak/>
              <w:t>assess the external and internal soft and hard tissues of the mouth and face</w:t>
            </w:r>
          </w:p>
          <w:p w14:paraId="6495B7A6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refer patients to follow-up treatment if necessary</w:t>
            </w:r>
          </w:p>
          <w:p w14:paraId="5EB3574F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prescribe and provide instructions on the use of fluoride products to patients and use the fluoride products at the clinic to prevent the occurrence of hard tissue diseases</w:t>
            </w:r>
          </w:p>
          <w:p w14:paraId="21296325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apply tooth coating  </w:t>
            </w: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br/>
              <w:t>Treatment of dental caries: Suitable treatment in line with recommendations</w:t>
            </w:r>
          </w:p>
          <w:p w14:paraId="4BCD3611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implement anti-infective treatment </w:t>
            </w:r>
          </w:p>
          <w:p w14:paraId="1AA009C9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evaluate indications and contraindications for local </w:t>
            </w:r>
            <w:proofErr w:type="spell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anaesthetics</w:t>
            </w:r>
            <w:proofErr w:type="spell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possible complications related to </w:t>
            </w:r>
            <w:proofErr w:type="spell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anaesthesia</w:t>
            </w:r>
            <w:proofErr w:type="spell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08A4352C" w14:textId="77777777" w:rsidR="004A529C" w:rsidRPr="00775301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</w:rPr>
            </w:pPr>
            <w:proofErr w:type="spell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competence</w:t>
            </w:r>
            <w:proofErr w:type="spell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in </w:t>
            </w:r>
            <w:proofErr w:type="spell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anaesthesia</w:t>
            </w:r>
            <w:proofErr w:type="spell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>infiltration</w:t>
            </w:r>
            <w:proofErr w:type="spellEnd"/>
            <w:r w:rsidRPr="00775301"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</w:p>
          <w:p w14:paraId="1E988199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familiarity with teeth whitening treatments and related instructions</w:t>
            </w:r>
          </w:p>
          <w:p w14:paraId="5BB08F4A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fix, maintain and remove fixed and removable orthodontic appliances </w:t>
            </w:r>
          </w:p>
          <w:p w14:paraId="48ABA736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implement oral care on a patient according to their treatment plan </w:t>
            </w:r>
          </w:p>
          <w:p w14:paraId="3557197C" w14:textId="11A6D7A6" w:rsid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evaluate the effectiveness of provided oral healthcare and plan follow-up treatment based on the evaluation</w:t>
            </w:r>
          </w:p>
        </w:tc>
      </w:tr>
      <w:tr w:rsidR="004A529C" w:rsidRPr="00271581" w14:paraId="2ECBE8EB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953" w14:textId="7ED7B748" w:rsidR="004A529C" w:rsidRDefault="004A529C" w:rsidP="004A529C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lastRenderedPageBreak/>
              <w:t>Instruction</w:t>
            </w:r>
            <w:proofErr w:type="spellEnd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and </w:t>
            </w: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teaching</w:t>
            </w:r>
            <w:proofErr w:type="spellEnd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75301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competences</w:t>
            </w:r>
            <w:proofErr w:type="spellEnd"/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C41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apply the philosophical,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ethical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pedagogical premises of instruction and teaching when carrying out activities promoting oral health</w:t>
            </w:r>
          </w:p>
          <w:p w14:paraId="5E3D2045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plan, implement and evaluate individual and group instruction</w:t>
            </w:r>
          </w:p>
          <w:p w14:paraId="6A0BDBEB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use suitable instruction and teaching methods in a way that involves and motivates the client</w:t>
            </w:r>
          </w:p>
          <w:p w14:paraId="6400B2F1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adjust communication methods for children and young people and patients with special needs   </w:t>
            </w:r>
          </w:p>
          <w:p w14:paraId="09DDA8F6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capable of using virtual methods/reception when instructing clients</w:t>
            </w:r>
          </w:p>
          <w:p w14:paraId="7A8611EF" w14:textId="77777777" w:rsidR="004A529C" w:rsidRP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use appropriate materials when providing instructions </w:t>
            </w:r>
          </w:p>
          <w:p w14:paraId="3A0A0E1B" w14:textId="138F463B" w:rsidR="004A529C" w:rsidRDefault="004A529C" w:rsidP="004A529C">
            <w:pPr>
              <w:numPr>
                <w:ilvl w:val="0"/>
                <w:numId w:val="33"/>
              </w:numPr>
              <w:spacing w:before="240" w:after="240"/>
              <w:contextualSpacing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produce new teaching and instruction material</w:t>
            </w:r>
          </w:p>
        </w:tc>
      </w:tr>
      <w:tr w:rsidR="004A529C" w:rsidRPr="00271581" w14:paraId="2394FBC1" w14:textId="77777777" w:rsidTr="004A529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14E" w14:textId="2C38D0F6" w:rsidR="004A529C" w:rsidRPr="004A529C" w:rsidRDefault="004A529C" w:rsidP="004A529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b/>
                <w:snapToGrid w:val="0"/>
                <w:sz w:val="20"/>
                <w:szCs w:val="20"/>
                <w:lang w:val="en-US"/>
              </w:rPr>
              <w:t>Promotion of oral health and functional capacity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D78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assess the impact of oral health on a person's quality of life </w:t>
            </w:r>
          </w:p>
          <w:p w14:paraId="3603DEBD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assess risk factors for the oral health of individual patients in relation to their general health </w:t>
            </w:r>
          </w:p>
          <w:p w14:paraId="4D84D0B3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assess the effects of tobacco products,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alcohol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substance abuse on a person’s general and oral health</w:t>
            </w:r>
          </w:p>
          <w:p w14:paraId="7B474D46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able to assess a patient's health </w:t>
            </w:r>
            <w:proofErr w:type="spell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behaviour</w:t>
            </w:r>
            <w:proofErr w:type="spell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, especially in relation to oral self-care and nutritional habits, as well as to the use of tobacco products,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alcohol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and drugs</w:t>
            </w:r>
          </w:p>
          <w:p w14:paraId="796C65FF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adjust oral self-care recommendations to fit the needs of each patient</w:t>
            </w:r>
          </w:p>
          <w:p w14:paraId="4E91D34F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evaluate the risks, benefits and limitations related to the oral self-care products available to patients</w:t>
            </w:r>
          </w:p>
          <w:p w14:paraId="5C320EB1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lastRenderedPageBreak/>
              <w:t xml:space="preserve">able to </w:t>
            </w:r>
            <w:proofErr w:type="gramStart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take into account</w:t>
            </w:r>
            <w:proofErr w:type="gramEnd"/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issues related to a patient's medical and dental treatment history as well as family and social background when drawing up and carrying out an oral health treatment plan</w:t>
            </w:r>
            <w:r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3104E369" w14:textId="79A57979" w:rsid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develop strategies that can be used to assess and promote oral self-care amongst the community/population and reduce habits that negatively affect oral health.</w:t>
            </w:r>
          </w:p>
        </w:tc>
      </w:tr>
      <w:tr w:rsidR="004A529C" w:rsidRPr="00271581" w14:paraId="77071618" w14:textId="77777777" w:rsidTr="004A529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7E1" w14:textId="3E5A185F" w:rsidR="004A529C" w:rsidRDefault="004A529C" w:rsidP="004A529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b/>
                <w:snapToGrid w:val="0"/>
                <w:sz w:val="20"/>
                <w:szCs w:val="20"/>
                <w:lang w:val="en-US"/>
              </w:rPr>
              <w:lastRenderedPageBreak/>
              <w:t>Social and health services in oral healthcare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C11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mastery of the principles of quality management and ability to apply them at work.</w:t>
            </w:r>
          </w:p>
          <w:p w14:paraId="5BB82CB3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apply research and development skills in the development of oral healthcare</w:t>
            </w:r>
          </w:p>
          <w:p w14:paraId="4397B588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mastery of the principles of first-line leadership and ability to apply them at work.</w:t>
            </w:r>
          </w:p>
          <w:p w14:paraId="2E1BE877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eastAsia="Times New Roman" w:hAnsi="Tahoma" w:cs="Tahoma"/>
                <w:snapToGrid w:val="0"/>
                <w:sz w:val="20"/>
                <w:szCs w:val="20"/>
                <w:lang w:val="en-US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able to combine entrepreneurial skills with expertise and career planning</w:t>
            </w:r>
          </w:p>
          <w:p w14:paraId="08855BFE" w14:textId="77777777" w:rsidR="004A529C" w:rsidRP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understand the premises of entrepreneurship in the welfare sector and the required procedures for establishing a company</w:t>
            </w:r>
            <w:r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415F1074" w14:textId="76B13D30" w:rsidR="004A529C" w:rsidRDefault="004A529C" w:rsidP="004A529C">
            <w:pPr>
              <w:numPr>
                <w:ilvl w:val="0"/>
                <w:numId w:val="34"/>
              </w:numPr>
              <w:spacing w:before="240" w:after="240"/>
              <w:contextualSpacing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4A529C">
              <w:rPr>
                <w:rFonts w:ascii="Tahoma" w:hAnsi="Tahoma" w:cs="Tahoma"/>
                <w:snapToGrid w:val="0"/>
                <w:sz w:val="20"/>
                <w:szCs w:val="20"/>
                <w:lang w:val="en-US"/>
              </w:rPr>
              <w:t>understand the basics premises of developing an ethical business idea in the health sector.</w:t>
            </w:r>
          </w:p>
        </w:tc>
      </w:tr>
    </w:tbl>
    <w:p w14:paraId="4E9A33C1" w14:textId="0CC061DC" w:rsidR="000510D9" w:rsidRPr="000510D9" w:rsidRDefault="000510D9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</w:p>
    <w:p w14:paraId="4B76FA3B" w14:textId="77777777" w:rsidR="000510D9" w:rsidRPr="000510D9" w:rsidRDefault="000510D9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GB"/>
        </w:rPr>
      </w:pPr>
    </w:p>
    <w:p w14:paraId="59C93F15" w14:textId="20C5B728" w:rsidR="005B457C" w:rsidRPr="000510D9" w:rsidRDefault="61205BC3" w:rsidP="61205BC3">
      <w:pPr>
        <w:spacing w:line="360" w:lineRule="auto"/>
        <w:rPr>
          <w:rFonts w:ascii="Tahoma" w:hAnsi="Tahoma" w:cs="Tahoma"/>
          <w:lang w:val="en-US"/>
        </w:rPr>
      </w:pPr>
      <w:r w:rsidRPr="000510D9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 </w:t>
      </w:r>
    </w:p>
    <w:p w14:paraId="353E85DF" w14:textId="42D8E854" w:rsidR="005B457C" w:rsidRPr="000510D9" w:rsidRDefault="005B457C" w:rsidP="61205BC3">
      <w:pPr>
        <w:rPr>
          <w:rFonts w:ascii="Tahoma" w:hAnsi="Tahoma" w:cs="Tahoma"/>
          <w:lang w:val="en-US"/>
        </w:rPr>
      </w:pPr>
    </w:p>
    <w:sectPr w:rsidR="005B457C" w:rsidRPr="000510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2AC9"/>
    <w:multiLevelType w:val="hybridMultilevel"/>
    <w:tmpl w:val="3112F6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D57"/>
    <w:multiLevelType w:val="hybridMultilevel"/>
    <w:tmpl w:val="3598523E"/>
    <w:lvl w:ilvl="0" w:tplc="6E309330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4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C03"/>
    <w:multiLevelType w:val="hybridMultilevel"/>
    <w:tmpl w:val="0D3ABF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3351"/>
    <w:multiLevelType w:val="multilevel"/>
    <w:tmpl w:val="DD1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2ECF"/>
    <w:multiLevelType w:val="hybridMultilevel"/>
    <w:tmpl w:val="151080F2"/>
    <w:lvl w:ilvl="0" w:tplc="28E659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2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6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B03F2"/>
    <w:multiLevelType w:val="hybridMultilevel"/>
    <w:tmpl w:val="FE5CA160"/>
    <w:lvl w:ilvl="0" w:tplc="5CD4BC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30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0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2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6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3E03"/>
    <w:multiLevelType w:val="hybridMultilevel"/>
    <w:tmpl w:val="5FFE2AD8"/>
    <w:lvl w:ilvl="0" w:tplc="21307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4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A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1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3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361EE"/>
    <w:multiLevelType w:val="hybridMultilevel"/>
    <w:tmpl w:val="80B06F9C"/>
    <w:lvl w:ilvl="0" w:tplc="1EF05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1E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C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6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6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A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56708"/>
    <w:multiLevelType w:val="hybridMultilevel"/>
    <w:tmpl w:val="CA3E56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169EB"/>
    <w:multiLevelType w:val="multilevel"/>
    <w:tmpl w:val="3D7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44F11"/>
    <w:multiLevelType w:val="multilevel"/>
    <w:tmpl w:val="2DF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EE68D0"/>
    <w:multiLevelType w:val="multilevel"/>
    <w:tmpl w:val="69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717CBF"/>
    <w:multiLevelType w:val="multilevel"/>
    <w:tmpl w:val="239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86911"/>
    <w:multiLevelType w:val="multilevel"/>
    <w:tmpl w:val="EA8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6D459B"/>
    <w:multiLevelType w:val="multilevel"/>
    <w:tmpl w:val="16B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8C740A"/>
    <w:multiLevelType w:val="hybridMultilevel"/>
    <w:tmpl w:val="3FD89B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57CC4"/>
    <w:multiLevelType w:val="multilevel"/>
    <w:tmpl w:val="872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1"/>
  </w:num>
  <w:num w:numId="4">
    <w:abstractNumId w:val="16"/>
  </w:num>
  <w:num w:numId="5">
    <w:abstractNumId w:val="9"/>
  </w:num>
  <w:num w:numId="6">
    <w:abstractNumId w:val="24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29"/>
  </w:num>
  <w:num w:numId="12">
    <w:abstractNumId w:val="20"/>
  </w:num>
  <w:num w:numId="13">
    <w:abstractNumId w:val="1"/>
  </w:num>
  <w:num w:numId="14">
    <w:abstractNumId w:val="4"/>
  </w:num>
  <w:num w:numId="15">
    <w:abstractNumId w:val="19"/>
  </w:num>
  <w:num w:numId="16">
    <w:abstractNumId w:val="10"/>
  </w:num>
  <w:num w:numId="17">
    <w:abstractNumId w:val="14"/>
  </w:num>
  <w:num w:numId="18">
    <w:abstractNumId w:val="31"/>
  </w:num>
  <w:num w:numId="19">
    <w:abstractNumId w:val="30"/>
  </w:num>
  <w:num w:numId="20">
    <w:abstractNumId w:val="18"/>
  </w:num>
  <w:num w:numId="21">
    <w:abstractNumId w:val="26"/>
  </w:num>
  <w:num w:numId="22">
    <w:abstractNumId w:val="22"/>
  </w:num>
  <w:num w:numId="23">
    <w:abstractNumId w:val="27"/>
  </w:num>
  <w:num w:numId="24">
    <w:abstractNumId w:val="23"/>
  </w:num>
  <w:num w:numId="25">
    <w:abstractNumId w:val="21"/>
  </w:num>
  <w:num w:numId="26">
    <w:abstractNumId w:val="6"/>
  </w:num>
  <w:num w:numId="27">
    <w:abstractNumId w:val="3"/>
  </w:num>
  <w:num w:numId="28">
    <w:abstractNumId w:val="13"/>
  </w:num>
  <w:num w:numId="29">
    <w:abstractNumId w:val="3"/>
  </w:num>
  <w:num w:numId="30">
    <w:abstractNumId w:val="13"/>
  </w:num>
  <w:num w:numId="31">
    <w:abstractNumId w:val="2"/>
  </w:num>
  <w:num w:numId="32">
    <w:abstractNumId w:val="17"/>
  </w:num>
  <w:num w:numId="33">
    <w:abstractNumId w:val="2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510D9"/>
    <w:rsid w:val="00271581"/>
    <w:rsid w:val="004A529C"/>
    <w:rsid w:val="004C1F55"/>
    <w:rsid w:val="005B457C"/>
    <w:rsid w:val="005C11EC"/>
    <w:rsid w:val="00613374"/>
    <w:rsid w:val="00674F73"/>
    <w:rsid w:val="008A3C8E"/>
    <w:rsid w:val="008F5597"/>
    <w:rsid w:val="00906322"/>
    <w:rsid w:val="00956707"/>
    <w:rsid w:val="00A10F15"/>
    <w:rsid w:val="00A7099E"/>
    <w:rsid w:val="00A773E8"/>
    <w:rsid w:val="00AA103A"/>
    <w:rsid w:val="00B153D5"/>
    <w:rsid w:val="00BE211B"/>
    <w:rsid w:val="00C36FAE"/>
    <w:rsid w:val="00C64174"/>
    <w:rsid w:val="00CF00FE"/>
    <w:rsid w:val="00D16C03"/>
    <w:rsid w:val="00D4256D"/>
    <w:rsid w:val="00EF0961"/>
    <w:rsid w:val="00F96DBC"/>
    <w:rsid w:val="01660823"/>
    <w:rsid w:val="034B3029"/>
    <w:rsid w:val="149A727C"/>
    <w:rsid w:val="1E629C7B"/>
    <w:rsid w:val="2340FA19"/>
    <w:rsid w:val="25FE7E35"/>
    <w:rsid w:val="28335515"/>
    <w:rsid w:val="2A77FC32"/>
    <w:rsid w:val="2DB78A7A"/>
    <w:rsid w:val="2FFB6849"/>
    <w:rsid w:val="31C170DA"/>
    <w:rsid w:val="3DB485E7"/>
    <w:rsid w:val="40EC26A9"/>
    <w:rsid w:val="45983B1C"/>
    <w:rsid w:val="4ABCDF43"/>
    <w:rsid w:val="4C36C6D6"/>
    <w:rsid w:val="513A8252"/>
    <w:rsid w:val="51CEB0B6"/>
    <w:rsid w:val="5441D8BB"/>
    <w:rsid w:val="5937CA24"/>
    <w:rsid w:val="5AB11A3F"/>
    <w:rsid w:val="5ABC06BA"/>
    <w:rsid w:val="5C4CEAA0"/>
    <w:rsid w:val="5E129155"/>
    <w:rsid w:val="5FD22BFD"/>
    <w:rsid w:val="5FF220DC"/>
    <w:rsid w:val="61205BC3"/>
    <w:rsid w:val="61F2D6FD"/>
    <w:rsid w:val="652A77BF"/>
    <w:rsid w:val="69E4C085"/>
    <w:rsid w:val="6EB831A8"/>
    <w:rsid w:val="752F9288"/>
    <w:rsid w:val="7D3A7297"/>
    <w:rsid w:val="7D3AA46D"/>
    <w:rsid w:val="7E5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7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ulukonleipteksti">
    <w:name w:val="Taulukon leipäteksti"/>
    <w:basedOn w:val="Normaali"/>
    <w:link w:val="TaulukonleiptekstiChar"/>
    <w:uiPriority w:val="1"/>
    <w:rsid w:val="61205BC3"/>
    <w:rPr>
      <w:rFonts w:asciiTheme="majorHAnsi" w:eastAsia="Times New Roman" w:hAnsiTheme="majorHAnsi" w:cstheme="majorBidi"/>
    </w:rPr>
  </w:style>
  <w:style w:type="character" w:customStyle="1" w:styleId="TaulukonleiptekstiChar">
    <w:name w:val="Taulukon leipäteksti Char"/>
    <w:basedOn w:val="Kappaleenoletusfontti"/>
    <w:link w:val="Taulukonleipteksti"/>
    <w:uiPriority w:val="1"/>
    <w:rsid w:val="61205BC3"/>
    <w:rPr>
      <w:rFonts w:asciiTheme="majorHAnsi" w:eastAsia="Times New Roman" w:hAnsiTheme="majorHAnsi" w:cstheme="majorBidi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906322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95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956707"/>
  </w:style>
  <w:style w:type="character" w:customStyle="1" w:styleId="scxw263624618">
    <w:name w:val="scxw263624618"/>
    <w:basedOn w:val="Kappaleenoletusfontti"/>
    <w:rsid w:val="00956707"/>
  </w:style>
  <w:style w:type="character" w:customStyle="1" w:styleId="eop">
    <w:name w:val="eop"/>
    <w:basedOn w:val="Kappaleenoletusfontti"/>
    <w:rsid w:val="00956707"/>
  </w:style>
  <w:style w:type="character" w:customStyle="1" w:styleId="spellingerror">
    <w:name w:val="spellingerror"/>
    <w:basedOn w:val="Kappaleenoletusfontti"/>
    <w:rsid w:val="00956707"/>
  </w:style>
  <w:style w:type="character" w:customStyle="1" w:styleId="scxw144593382">
    <w:name w:val="scxw144593382"/>
    <w:basedOn w:val="Kappaleenoletusfontti"/>
    <w:rsid w:val="00A1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d7d571cd-4a35-464f-828c-ffa93fe25e1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c8954cf-07f3-412a-b26c-f20726d698a6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1471</Words>
  <Characters>11917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Taina Moilanen</cp:lastModifiedBy>
  <cp:revision>3</cp:revision>
  <dcterms:created xsi:type="dcterms:W3CDTF">2022-12-01T11:50:00Z</dcterms:created>
  <dcterms:modified xsi:type="dcterms:W3CDTF">2022-12-01T12:51:00Z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