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FC15F1" w14:textId="0D4DA9BA" w:rsidR="00414AF7" w:rsidRPr="00414AF7" w:rsidRDefault="00414AF7">
      <w:pPr>
        <w:rPr>
          <w:rFonts w:ascii="Tahoma" w:hAnsi="Tahoma" w:cs="Tahoma"/>
          <w:b/>
          <w:bCs/>
          <w:color w:val="444444"/>
          <w:sz w:val="24"/>
          <w:szCs w:val="24"/>
        </w:rPr>
      </w:pPr>
      <w:r w:rsidRPr="00414AF7">
        <w:rPr>
          <w:rFonts w:ascii="Tahoma" w:hAnsi="Tahoma" w:cs="Tahoma"/>
          <w:b/>
          <w:bCs/>
          <w:color w:val="444444"/>
          <w:sz w:val="24"/>
          <w:szCs w:val="24"/>
        </w:rPr>
        <w:t>Opintojen rakenne</w:t>
      </w:r>
    </w:p>
    <w:p w14:paraId="44517C7E" w14:textId="0993ED4A" w:rsidR="00E20444" w:rsidRPr="00414AF7" w:rsidRDefault="00414AF7">
      <w:pPr>
        <w:rPr>
          <w:rFonts w:ascii="Tahoma" w:hAnsi="Tahoma" w:cs="Tahoma"/>
        </w:rPr>
      </w:pPr>
      <w:r w:rsidRPr="00414AF7">
        <w:rPr>
          <w:rFonts w:ascii="Tahoma" w:hAnsi="Tahoma" w:cs="Tahoma"/>
          <w:color w:val="444444"/>
          <w:sz w:val="20"/>
          <w:szCs w:val="20"/>
        </w:rPr>
        <w:t xml:space="preserve">Fysioterapeutin opinnot ovat 210 opintopistettä. Opetussuunnitelman mukaan yksi opiskeluvuosi vastaa 60 opintopistettä, mikä tarkoittaa 1600 tuntia opiskelijan työtä. Opiskelijan työ koostuu mm. lähitunneista, etä- ja itsenäisestä opiskelusta, verkko-opiskelusta ja harjoittelusta. Opiskelu sisältää työelämälähtöistä tutkimus- ja kehittämistoimintaa.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134"/>
        <w:gridCol w:w="6551"/>
      </w:tblGrid>
      <w:tr w:rsidR="00E20444" w14:paraId="299EC0C4" w14:textId="77777777" w:rsidTr="00A14294">
        <w:tc>
          <w:tcPr>
            <w:tcW w:w="2093" w:type="dxa"/>
            <w:shd w:val="clear" w:color="auto" w:fill="31A3B5"/>
          </w:tcPr>
          <w:p w14:paraId="0521CA3D" w14:textId="77777777" w:rsidR="00E20444" w:rsidRPr="00215FBB" w:rsidRDefault="00E20444" w:rsidP="00A14294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31A3B5"/>
          </w:tcPr>
          <w:p w14:paraId="7C583F2D" w14:textId="77777777" w:rsidR="00E20444" w:rsidRPr="00215FBB" w:rsidRDefault="00E20444" w:rsidP="00A14294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215FBB">
              <w:rPr>
                <w:rFonts w:ascii="Tahoma" w:hAnsi="Tahoma" w:cs="Tahoma"/>
                <w:b/>
                <w:color w:val="FFFFFF"/>
                <w:sz w:val="20"/>
                <w:szCs w:val="20"/>
              </w:rPr>
              <w:t xml:space="preserve">Laajuus </w:t>
            </w:r>
          </w:p>
        </w:tc>
        <w:tc>
          <w:tcPr>
            <w:tcW w:w="6551" w:type="dxa"/>
            <w:shd w:val="clear" w:color="auto" w:fill="31A3B5"/>
          </w:tcPr>
          <w:p w14:paraId="607CAA51" w14:textId="71737FC0" w:rsidR="00E20444" w:rsidRPr="00215FBB" w:rsidRDefault="006A2EAB" w:rsidP="00A14294">
            <w:pPr>
              <w:spacing w:before="240"/>
              <w:rPr>
                <w:rFonts w:ascii="Tahoma" w:hAnsi="Tahoma" w:cs="Tahoma"/>
                <w:b/>
                <w:color w:val="FFFFFF"/>
                <w:sz w:val="20"/>
                <w:szCs w:val="20"/>
              </w:rPr>
            </w:pPr>
            <w:r w:rsidRPr="00215FBB">
              <w:rPr>
                <w:rFonts w:ascii="Tahoma" w:hAnsi="Tahoma" w:cs="Tahoma"/>
                <w:b/>
                <w:color w:val="FFFFFF"/>
                <w:sz w:val="20"/>
                <w:szCs w:val="20"/>
              </w:rPr>
              <w:t>Luonnehdinta opinnoista lyhyesti</w:t>
            </w:r>
          </w:p>
        </w:tc>
      </w:tr>
      <w:tr w:rsidR="00E20444" w14:paraId="68F3A497" w14:textId="77777777" w:rsidTr="00A14294">
        <w:tc>
          <w:tcPr>
            <w:tcW w:w="2093" w:type="dxa"/>
          </w:tcPr>
          <w:p w14:paraId="4A55E2CA" w14:textId="4911C68C" w:rsidR="00E20444" w:rsidRPr="00215FBB" w:rsidRDefault="00E20444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215FBB">
              <w:rPr>
                <w:rFonts w:ascii="Tahoma" w:hAnsi="Tahoma" w:cs="Tahoma"/>
                <w:b/>
                <w:sz w:val="20"/>
                <w:szCs w:val="20"/>
              </w:rPr>
              <w:t xml:space="preserve">Perusopinnot </w:t>
            </w:r>
            <w:r w:rsidRPr="00215FBB">
              <w:rPr>
                <w:rFonts w:ascii="Tahoma" w:hAnsi="Tahoma" w:cs="Tahoma"/>
                <w:b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14:paraId="5BEA3314" w14:textId="77777777" w:rsidR="00E20444" w:rsidRPr="00215FBB" w:rsidRDefault="002D7BD1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30 </w:t>
            </w:r>
            <w:r w:rsidR="008924C6" w:rsidRPr="00215FBB">
              <w:rPr>
                <w:rFonts w:ascii="Tahoma" w:hAnsi="Tahoma" w:cs="Tahoma"/>
                <w:sz w:val="20"/>
                <w:szCs w:val="20"/>
              </w:rPr>
              <w:t>op</w:t>
            </w:r>
          </w:p>
        </w:tc>
        <w:tc>
          <w:tcPr>
            <w:tcW w:w="6551" w:type="dxa"/>
          </w:tcPr>
          <w:p w14:paraId="42B65BFC" w14:textId="77777777" w:rsidR="00E20444" w:rsidRPr="002D7BD1" w:rsidRDefault="002D7BD1" w:rsidP="002D7BD1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D7BD1">
              <w:rPr>
                <w:rFonts w:ascii="Tahoma" w:hAnsi="Tahoma" w:cs="Tahoma"/>
                <w:iCs/>
                <w:sz w:val="20"/>
                <w:szCs w:val="20"/>
              </w:rPr>
              <w:t>Perusopinnoissa opiskelija perehtyy ammattikorkeakouluopiskeluun, koulutuksen tavoitteisiin ja sisältöön. Perusopinnot luovat perustan ammatilliselle kasvulle, vastuulliselle työskentelylle, elinikäiselle oppimiselle sekä kieli- ja viestintätaitojen kehittymiselle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>.</w:t>
            </w:r>
          </w:p>
        </w:tc>
      </w:tr>
      <w:tr w:rsidR="00E20444" w14:paraId="5E4A1263" w14:textId="77777777" w:rsidTr="00A14294">
        <w:tc>
          <w:tcPr>
            <w:tcW w:w="2093" w:type="dxa"/>
          </w:tcPr>
          <w:p w14:paraId="65FE3116" w14:textId="77777777" w:rsidR="00E20444" w:rsidRPr="00215FBB" w:rsidRDefault="00E20444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215FBB">
              <w:rPr>
                <w:rFonts w:ascii="Tahoma" w:hAnsi="Tahoma" w:cs="Tahoma"/>
                <w:b/>
                <w:sz w:val="20"/>
                <w:szCs w:val="20"/>
              </w:rPr>
              <w:t>Ammattiopinnot</w:t>
            </w:r>
          </w:p>
        </w:tc>
        <w:tc>
          <w:tcPr>
            <w:tcW w:w="1134" w:type="dxa"/>
          </w:tcPr>
          <w:p w14:paraId="63ADF8F9" w14:textId="77777777" w:rsidR="00E20444" w:rsidRPr="00215FBB" w:rsidRDefault="00E20444" w:rsidP="00A1429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355C73" w14:textId="77777777" w:rsidR="00E20444" w:rsidRPr="00215FBB" w:rsidRDefault="002D7BD1" w:rsidP="00A142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155</w:t>
            </w:r>
            <w:r w:rsidR="008924C6" w:rsidRPr="00215FBB">
              <w:rPr>
                <w:rFonts w:ascii="Tahoma" w:hAnsi="Tahoma" w:cs="Tahoma"/>
                <w:sz w:val="20"/>
                <w:szCs w:val="20"/>
              </w:rPr>
              <w:t xml:space="preserve"> op</w:t>
            </w:r>
          </w:p>
        </w:tc>
        <w:tc>
          <w:tcPr>
            <w:tcW w:w="6551" w:type="dxa"/>
          </w:tcPr>
          <w:p w14:paraId="2E286226" w14:textId="77777777" w:rsidR="00E20444" w:rsidRPr="00215FBB" w:rsidRDefault="00E20444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>Ammattiopinnoissa opiskelija perehtyy fysioterapian keskeisiin kokonaisuuksiin ja sovellutuksiin sekä niiden tieteellisiin perusteisiin niin, että hän kykenee itsenäisesti toimimaan alan asiantuntijatehtävissä.</w:t>
            </w:r>
          </w:p>
        </w:tc>
      </w:tr>
      <w:tr w:rsidR="00E20444" w14:paraId="6822CFCD" w14:textId="77777777" w:rsidTr="00A14294">
        <w:tc>
          <w:tcPr>
            <w:tcW w:w="2093" w:type="dxa"/>
          </w:tcPr>
          <w:p w14:paraId="5AB03DD9" w14:textId="77777777" w:rsidR="00E20444" w:rsidRPr="00215FBB" w:rsidRDefault="00E20444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215FBB">
              <w:rPr>
                <w:rFonts w:ascii="Tahoma" w:hAnsi="Tahoma" w:cs="Tahoma"/>
                <w:b/>
                <w:sz w:val="20"/>
                <w:szCs w:val="20"/>
              </w:rPr>
              <w:t>Harjoittelu</w:t>
            </w:r>
          </w:p>
        </w:tc>
        <w:tc>
          <w:tcPr>
            <w:tcW w:w="1134" w:type="dxa"/>
          </w:tcPr>
          <w:p w14:paraId="36419E86" w14:textId="77777777" w:rsidR="00E20444" w:rsidRPr="00215FBB" w:rsidRDefault="00E20444" w:rsidP="00A1429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6B5BB7" w14:textId="77777777" w:rsidR="00E20444" w:rsidRPr="00215FBB" w:rsidRDefault="002D7BD1" w:rsidP="00A1429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Sisältyy </w:t>
            </w:r>
            <w:r w:rsidR="00E20444" w:rsidRPr="00215FBB">
              <w:rPr>
                <w:rFonts w:ascii="Tahoma" w:hAnsi="Tahoma" w:cs="Tahoma"/>
                <w:sz w:val="20"/>
                <w:szCs w:val="20"/>
              </w:rPr>
              <w:t>ammatti-</w:t>
            </w:r>
            <w:proofErr w:type="spellStart"/>
            <w:r w:rsidR="00E20444" w:rsidRPr="00215FBB">
              <w:rPr>
                <w:rFonts w:ascii="Tahoma" w:hAnsi="Tahoma" w:cs="Tahoma"/>
                <w:sz w:val="20"/>
                <w:szCs w:val="20"/>
              </w:rPr>
              <w:t>opintoi</w:t>
            </w:r>
            <w:proofErr w:type="spellEnd"/>
            <w:r w:rsidR="00E20444" w:rsidRPr="00215FBB">
              <w:rPr>
                <w:rFonts w:ascii="Tahoma" w:hAnsi="Tahoma" w:cs="Tahoma"/>
                <w:sz w:val="20"/>
                <w:szCs w:val="20"/>
              </w:rPr>
              <w:t>-</w:t>
            </w:r>
            <w:proofErr w:type="spellStart"/>
            <w:r w:rsidR="00E20444" w:rsidRPr="00215FBB">
              <w:rPr>
                <w:rFonts w:ascii="Tahoma" w:hAnsi="Tahoma" w:cs="Tahoma"/>
                <w:sz w:val="20"/>
                <w:szCs w:val="20"/>
              </w:rPr>
              <w:t>hin</w:t>
            </w:r>
            <w:proofErr w:type="spellEnd"/>
          </w:p>
        </w:tc>
        <w:tc>
          <w:tcPr>
            <w:tcW w:w="6551" w:type="dxa"/>
          </w:tcPr>
          <w:p w14:paraId="47AA3793" w14:textId="77777777" w:rsidR="00E20444" w:rsidRPr="00215FBB" w:rsidRDefault="00E20444" w:rsidP="00A14294">
            <w:pPr>
              <w:autoSpaceDE w:val="0"/>
              <w:autoSpaceDN w:val="0"/>
              <w:spacing w:before="240"/>
              <w:rPr>
                <w:rFonts w:ascii="Tahoma" w:hAnsi="Tahoma" w:cs="Tahoma"/>
                <w:iCs/>
                <w:sz w:val="20"/>
                <w:szCs w:val="20"/>
              </w:rPr>
            </w:pPr>
            <w:r w:rsidRPr="00215FBB">
              <w:rPr>
                <w:rFonts w:ascii="Tahoma" w:hAnsi="Tahoma" w:cs="Tahoma"/>
                <w:iCs/>
                <w:sz w:val="20"/>
                <w:szCs w:val="20"/>
              </w:rPr>
              <w:t xml:space="preserve">Harjoittelussa opiskelija perehtyy käytännön työtoimintaan ja hankkii valmiuksia erilaisten toimintatapojen ja työmenetelmien valintaan, käyttöön ja soveltamiseen.  Harjoittelussa opitaan myös kehittämään asiakas- ja työelämälähtöisesti uusia ratkaisuja ja toiminnan laatua.  Harjoittelu valmentaa työelämän vaatimuksiin ammatillista osaamista syventämällä sekä auttaa työllistymään koulutusalaa ja suuntautumista vastaaviin tehtäviin.  </w:t>
            </w:r>
          </w:p>
        </w:tc>
      </w:tr>
      <w:tr w:rsidR="00E20444" w14:paraId="5582C33F" w14:textId="77777777" w:rsidTr="00A14294">
        <w:tc>
          <w:tcPr>
            <w:tcW w:w="2093" w:type="dxa"/>
          </w:tcPr>
          <w:p w14:paraId="1A8ADDAA" w14:textId="77777777" w:rsidR="00E20444" w:rsidRPr="00215FBB" w:rsidRDefault="00E20444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215FBB">
              <w:rPr>
                <w:rFonts w:ascii="Tahoma" w:hAnsi="Tahoma" w:cs="Tahoma"/>
                <w:b/>
                <w:sz w:val="20"/>
                <w:szCs w:val="20"/>
              </w:rPr>
              <w:t>Opinnäytetyö</w:t>
            </w:r>
          </w:p>
          <w:p w14:paraId="5C6695B4" w14:textId="77777777" w:rsidR="00E20444" w:rsidRPr="00215FBB" w:rsidRDefault="00E20444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89F726" w14:textId="77777777" w:rsidR="00E20444" w:rsidRPr="00215FBB" w:rsidRDefault="008924C6" w:rsidP="003348E9">
            <w:pPr>
              <w:pStyle w:val="Luettelokappale"/>
              <w:numPr>
                <w:ilvl w:val="0"/>
                <w:numId w:val="2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>p</w:t>
            </w:r>
          </w:p>
        </w:tc>
        <w:tc>
          <w:tcPr>
            <w:tcW w:w="6551" w:type="dxa"/>
          </w:tcPr>
          <w:p w14:paraId="55DB6810" w14:textId="77777777" w:rsidR="003348E9" w:rsidRPr="00215FBB" w:rsidRDefault="00E20444" w:rsidP="003348E9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 xml:space="preserve">Opinnäytetyö on opiskelijan työelämäläheinen oppimisprosessi, jota asiantuntijat tukevat, ohjaavat ja arvioivat. </w:t>
            </w:r>
            <w:r w:rsidR="009C524D">
              <w:rPr>
                <w:rFonts w:ascii="Tahoma" w:hAnsi="Tahoma" w:cs="Tahoma"/>
                <w:sz w:val="20"/>
                <w:szCs w:val="20"/>
              </w:rPr>
              <w:t xml:space="preserve">Tavoitteena on, että opiskelija kehittää työelämää opinnäytetyöllään samalla kun prosessi syventää hänen asiantuntijuuttaan valitussa aiheessa. Opinnäytetyöt voivat olla tutkimuksellisia, toiminnallisia tai subjektiivista luovaa ilmaisua. </w:t>
            </w:r>
            <w:r w:rsidRPr="00215FBB">
              <w:rPr>
                <w:rFonts w:ascii="Tahoma" w:hAnsi="Tahoma" w:cs="Tahoma"/>
                <w:sz w:val="20"/>
                <w:szCs w:val="20"/>
              </w:rPr>
              <w:t>Opinnäytetyön tekemisessä opiskelija vastaa</w:t>
            </w:r>
          </w:p>
          <w:p w14:paraId="5D33FFEF" w14:textId="77777777" w:rsidR="003348E9" w:rsidRPr="00215FBB" w:rsidRDefault="00E20444" w:rsidP="003348E9">
            <w:pPr>
              <w:pStyle w:val="Luettelokappale"/>
              <w:numPr>
                <w:ilvl w:val="0"/>
                <w:numId w:val="4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 xml:space="preserve">opinnäytetyöidean </w:t>
            </w:r>
            <w:r w:rsidR="003348E9" w:rsidRPr="00215FBB">
              <w:rPr>
                <w:rFonts w:ascii="Tahoma" w:hAnsi="Tahoma" w:cs="Tahoma"/>
                <w:sz w:val="20"/>
                <w:szCs w:val="20"/>
              </w:rPr>
              <w:t>ja työelämäyhteyden hakemisesta</w:t>
            </w:r>
          </w:p>
          <w:p w14:paraId="2EEE50A9" w14:textId="77777777" w:rsidR="003348E9" w:rsidRPr="00215FBB" w:rsidRDefault="00E20444" w:rsidP="003348E9">
            <w:pPr>
              <w:pStyle w:val="Luettelokappale"/>
              <w:numPr>
                <w:ilvl w:val="0"/>
                <w:numId w:val="4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>opinnäytetyön tehtäväalueeseen perehtymisestä ja tehtävän asettamista</w:t>
            </w:r>
          </w:p>
          <w:p w14:paraId="07993F43" w14:textId="77777777" w:rsidR="003348E9" w:rsidRPr="00215FBB" w:rsidRDefault="00E20444" w:rsidP="003348E9">
            <w:pPr>
              <w:pStyle w:val="Luettelokappale"/>
              <w:numPr>
                <w:ilvl w:val="0"/>
                <w:numId w:val="3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>asetetun tehtävän suorittamisesta</w:t>
            </w:r>
            <w:r w:rsidR="009C524D">
              <w:rPr>
                <w:rFonts w:ascii="Tahoma" w:hAnsi="Tahoma" w:cs="Tahoma"/>
                <w:sz w:val="20"/>
                <w:szCs w:val="20"/>
              </w:rPr>
              <w:t xml:space="preserve"> ja raportoinnista </w:t>
            </w:r>
          </w:p>
          <w:p w14:paraId="1D1C94FB" w14:textId="77777777" w:rsidR="00E20444" w:rsidRDefault="00E20444" w:rsidP="003348E9">
            <w:pPr>
              <w:pStyle w:val="Luettelokappale"/>
              <w:numPr>
                <w:ilvl w:val="0"/>
                <w:numId w:val="3"/>
              </w:num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>opinnäytetyön viimeistelystä ja tiedotusmateriaalin laatimisesta</w:t>
            </w:r>
          </w:p>
          <w:p w14:paraId="6C8C1807" w14:textId="77777777" w:rsidR="009C524D" w:rsidRPr="009C524D" w:rsidRDefault="009C524D" w:rsidP="009C524D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Opinnäytetyö tarjoaa joustavan portin siirtyä työelämään ja hyvän mahdollisuuden verkottua omalla alalla.</w:t>
            </w:r>
          </w:p>
        </w:tc>
      </w:tr>
      <w:tr w:rsidR="00E20444" w14:paraId="2760DB04" w14:textId="77777777" w:rsidTr="00A14294">
        <w:tc>
          <w:tcPr>
            <w:tcW w:w="2093" w:type="dxa"/>
          </w:tcPr>
          <w:p w14:paraId="148927B9" w14:textId="77777777" w:rsidR="00E20444" w:rsidRPr="00215FBB" w:rsidRDefault="008924C6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215FBB">
              <w:rPr>
                <w:rFonts w:ascii="Tahoma" w:hAnsi="Tahoma" w:cs="Tahoma"/>
                <w:b/>
                <w:sz w:val="20"/>
                <w:szCs w:val="20"/>
              </w:rPr>
              <w:t xml:space="preserve">Valinnaiset </w:t>
            </w:r>
            <w:r w:rsidR="00E20444" w:rsidRPr="00215FBB">
              <w:rPr>
                <w:rFonts w:ascii="Tahoma" w:hAnsi="Tahoma" w:cs="Tahoma"/>
                <w:b/>
                <w:sz w:val="20"/>
                <w:szCs w:val="20"/>
              </w:rPr>
              <w:t>opinnot</w:t>
            </w:r>
          </w:p>
          <w:p w14:paraId="6CC5A3E5" w14:textId="77777777" w:rsidR="00E20444" w:rsidRPr="00215FBB" w:rsidRDefault="00E20444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2D712A" w14:textId="77777777" w:rsidR="00E20444" w:rsidRPr="00215FBB" w:rsidRDefault="008924C6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 xml:space="preserve">  10 op</w:t>
            </w:r>
          </w:p>
        </w:tc>
        <w:tc>
          <w:tcPr>
            <w:tcW w:w="6551" w:type="dxa"/>
          </w:tcPr>
          <w:p w14:paraId="6B5B4487" w14:textId="77777777" w:rsidR="00E20444" w:rsidRPr="00215FBB" w:rsidRDefault="00E20444" w:rsidP="009C524D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 xml:space="preserve">Valinnaiset opinnot </w:t>
            </w:r>
            <w:r w:rsidR="009C524D">
              <w:rPr>
                <w:rFonts w:ascii="Tahoma" w:hAnsi="Tahoma" w:cs="Tahoma"/>
                <w:sz w:val="20"/>
                <w:szCs w:val="20"/>
              </w:rPr>
              <w:t xml:space="preserve">suuntaavat ja </w:t>
            </w:r>
            <w:r w:rsidRPr="00215FBB">
              <w:rPr>
                <w:rFonts w:ascii="Tahoma" w:hAnsi="Tahoma" w:cs="Tahoma"/>
                <w:sz w:val="20"/>
                <w:szCs w:val="20"/>
              </w:rPr>
              <w:t>tukevat asiantuntijuud</w:t>
            </w:r>
            <w:r w:rsidR="009C524D">
              <w:rPr>
                <w:rFonts w:ascii="Tahoma" w:hAnsi="Tahoma" w:cs="Tahoma"/>
                <w:sz w:val="20"/>
                <w:szCs w:val="20"/>
              </w:rPr>
              <w:t xml:space="preserve">en kehittymistä </w:t>
            </w:r>
            <w:r w:rsidRPr="00215FBB">
              <w:rPr>
                <w:rFonts w:ascii="Tahoma" w:hAnsi="Tahoma" w:cs="Tahoma"/>
                <w:sz w:val="20"/>
                <w:szCs w:val="20"/>
              </w:rPr>
              <w:t xml:space="preserve">opiskelijan kiinnostuksen mukaan. </w:t>
            </w:r>
            <w:r w:rsidR="009C524D">
              <w:rPr>
                <w:rFonts w:ascii="Tahoma" w:hAnsi="Tahoma" w:cs="Tahoma"/>
                <w:sz w:val="20"/>
                <w:szCs w:val="20"/>
              </w:rPr>
              <w:t>Opiskelija voi valita opintoja myös Savonian yhteisistä opintokokonaisuuksista ja muista tutkinto-ohjelmista tai sisällyttää tutkintoonsa muualla suoritettuja samantasoisia opintoja.</w:t>
            </w:r>
          </w:p>
        </w:tc>
      </w:tr>
      <w:tr w:rsidR="00E20444" w14:paraId="3BC324B5" w14:textId="77777777" w:rsidTr="00A14294">
        <w:tc>
          <w:tcPr>
            <w:tcW w:w="2093" w:type="dxa"/>
          </w:tcPr>
          <w:p w14:paraId="49BEF88D" w14:textId="77777777" w:rsidR="00E20444" w:rsidRPr="00215FBB" w:rsidRDefault="00E20444" w:rsidP="00A14294">
            <w:pPr>
              <w:spacing w:before="240"/>
              <w:rPr>
                <w:rFonts w:ascii="Tahoma" w:hAnsi="Tahoma" w:cs="Tahoma"/>
                <w:b/>
                <w:sz w:val="20"/>
                <w:szCs w:val="20"/>
              </w:rPr>
            </w:pPr>
            <w:r w:rsidRPr="00215FBB">
              <w:rPr>
                <w:rFonts w:ascii="Tahoma" w:hAnsi="Tahoma" w:cs="Tahoma"/>
                <w:b/>
                <w:sz w:val="20"/>
                <w:szCs w:val="20"/>
              </w:rPr>
              <w:lastRenderedPageBreak/>
              <w:t>Yhteensä</w:t>
            </w:r>
          </w:p>
        </w:tc>
        <w:tc>
          <w:tcPr>
            <w:tcW w:w="1134" w:type="dxa"/>
          </w:tcPr>
          <w:p w14:paraId="3E5219BB" w14:textId="77777777" w:rsidR="00E20444" w:rsidRPr="00215FBB" w:rsidRDefault="00E20444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  <w:r w:rsidRPr="00215FBB">
              <w:rPr>
                <w:rFonts w:ascii="Tahoma" w:hAnsi="Tahoma" w:cs="Tahoma"/>
                <w:sz w:val="20"/>
                <w:szCs w:val="20"/>
              </w:rPr>
              <w:t>210 op</w:t>
            </w:r>
          </w:p>
        </w:tc>
        <w:tc>
          <w:tcPr>
            <w:tcW w:w="6551" w:type="dxa"/>
          </w:tcPr>
          <w:p w14:paraId="6EB1F2F9" w14:textId="77777777" w:rsidR="00E20444" w:rsidRPr="00215FBB" w:rsidRDefault="00E20444" w:rsidP="00A14294">
            <w:pPr>
              <w:spacing w:before="240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863FD1C" w14:textId="77777777" w:rsidR="00E20444" w:rsidRDefault="00E20444"/>
    <w:sectPr w:rsidR="00E2044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42166"/>
    <w:multiLevelType w:val="hybridMultilevel"/>
    <w:tmpl w:val="53D442F2"/>
    <w:lvl w:ilvl="0" w:tplc="2EB66FC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0646D"/>
    <w:multiLevelType w:val="hybridMultilevel"/>
    <w:tmpl w:val="F90CD33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6F6675"/>
    <w:multiLevelType w:val="hybridMultilevel"/>
    <w:tmpl w:val="1EA2AEC8"/>
    <w:lvl w:ilvl="0" w:tplc="D0609644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90A31"/>
    <w:multiLevelType w:val="hybridMultilevel"/>
    <w:tmpl w:val="7D5811A2"/>
    <w:lvl w:ilvl="0" w:tplc="F01852C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444"/>
    <w:rsid w:val="001430F3"/>
    <w:rsid w:val="001E61FD"/>
    <w:rsid w:val="00215FBB"/>
    <w:rsid w:val="002854E8"/>
    <w:rsid w:val="002D7BD1"/>
    <w:rsid w:val="003348E9"/>
    <w:rsid w:val="00414AF7"/>
    <w:rsid w:val="005268FB"/>
    <w:rsid w:val="006A2EAB"/>
    <w:rsid w:val="006A67DB"/>
    <w:rsid w:val="0087032B"/>
    <w:rsid w:val="008924C6"/>
    <w:rsid w:val="0090250B"/>
    <w:rsid w:val="00967051"/>
    <w:rsid w:val="009C524D"/>
    <w:rsid w:val="00AD38D6"/>
    <w:rsid w:val="00C17F7D"/>
    <w:rsid w:val="00C905A5"/>
    <w:rsid w:val="00D94BAC"/>
    <w:rsid w:val="00DD399D"/>
    <w:rsid w:val="00E20444"/>
    <w:rsid w:val="00EC68EE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7145"/>
  <w15:chartTrackingRefBased/>
  <w15:docId w15:val="{CCB64458-63B1-4140-8CCE-F4DC841E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34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A58C7343C002E48B952920D28D89A49" ma:contentTypeVersion="15" ma:contentTypeDescription="Luo uusi asiakirja." ma:contentTypeScope="" ma:versionID="f42ea79f73d58942f019256962b8fe3f">
  <xsd:schema xmlns:xsd="http://www.w3.org/2001/XMLSchema" xmlns:xs="http://www.w3.org/2001/XMLSchema" xmlns:p="http://schemas.microsoft.com/office/2006/metadata/properties" xmlns:ns2="5cc238b2-c102-45a5-bbd1-55607e645033" xmlns:ns3="3374232f-bbe6-4b02-a235-e3eb829de60c" targetNamespace="http://schemas.microsoft.com/office/2006/metadata/properties" ma:root="true" ma:fieldsID="b47f6b8fb37181e480f1d9141d33aade" ns2:_="" ns3:_="">
    <xsd:import namespace="5cc238b2-c102-45a5-bbd1-55607e645033"/>
    <xsd:import namespace="3374232f-bbe6-4b02-a235-e3eb829de6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238b2-c102-45a5-bbd1-55607e645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27ee12cc-49ea-458b-8a70-8770974bc7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4232f-bbe6-4b02-a235-e3eb829de6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1266559-2445-4802-9696-b24d3c53378f}" ma:internalName="TaxCatchAll" ma:showField="CatchAllData" ma:web="3374232f-bbe6-4b02-a235-e3eb829de6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74232f-bbe6-4b02-a235-e3eb829de60c" xsi:nil="true"/>
    <lcf76f155ced4ddcb4097134ff3c332f xmlns="5cc238b2-c102-45a5-bbd1-55607e6450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1CBACD-3432-4890-B8EA-74770C8BD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238b2-c102-45a5-bbd1-55607e645033"/>
    <ds:schemaRef ds:uri="3374232f-bbe6-4b02-a235-e3eb829de6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25D4C9-5EC3-4C26-9D2F-18F121934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2DC360-A100-4797-8C2A-B706F8CFA1F8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3374232f-bbe6-4b02-a235-e3eb829de60c"/>
    <ds:schemaRef ds:uri="http://purl.org/dc/terms/"/>
    <ds:schemaRef ds:uri="5cc238b2-c102-45a5-bbd1-55607e64503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 Laitinen</dc:creator>
  <cp:keywords/>
  <dc:description/>
  <cp:lastModifiedBy>Taina Moilanen</cp:lastModifiedBy>
  <cp:revision>3</cp:revision>
  <cp:lastPrinted>2022-11-04T08:02:00Z</cp:lastPrinted>
  <dcterms:created xsi:type="dcterms:W3CDTF">2022-10-28T12:17:00Z</dcterms:created>
  <dcterms:modified xsi:type="dcterms:W3CDTF">2022-11-04T08:02:00Z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0x0101001A58C7343C002E48B952920D28D89A49</vt:lpwstr>
  </property>
</Properties>
</file>