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260EA383" w:rsidR="00EA3FAF" w:rsidRDefault="00B248C1" w:rsidP="00EA3FAF">
      <w:pPr>
        <w:spacing w:line="360" w:lineRule="auto"/>
        <w:rPr>
          <w:rFonts w:ascii="Tahoma" w:eastAsia="Tahoma" w:hAnsi="Tahoma" w:cs="Tahoma"/>
          <w:sz w:val="20"/>
          <w:szCs w:val="20"/>
        </w:rPr>
      </w:pPr>
      <w:r>
        <w:rPr>
          <w:rFonts w:ascii="Tahoma" w:eastAsia="Tahoma" w:hAnsi="Tahoma" w:cs="Tahoma"/>
          <w:sz w:val="20"/>
          <w:szCs w:val="20"/>
        </w:rPr>
        <w:t>Bioanalyytikon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p w14:paraId="53F78E98" w14:textId="77777777" w:rsidR="006E3E4E" w:rsidRPr="00906322" w:rsidRDefault="006E3E4E" w:rsidP="00EA3FAF">
      <w:pPr>
        <w:spacing w:line="360" w:lineRule="auto"/>
        <w:rPr>
          <w:rFonts w:ascii="Tahoma" w:hAnsi="Tahoma" w:cs="Tahoma"/>
          <w:b/>
          <w:bCs/>
          <w:color w:val="000000" w:themeColor="text1"/>
        </w:rPr>
      </w:pP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4E803A26"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843A2D1" w14:textId="77777777" w:rsidR="00B248C1" w:rsidRPr="00B248C1" w:rsidRDefault="00B248C1" w:rsidP="00B248C1">
      <w:pPr>
        <w:rPr>
          <w:rFonts w:eastAsia="Tahoma"/>
          <w:lang w:val="fi"/>
        </w:rPr>
      </w:pPr>
    </w:p>
    <w:p w14:paraId="7FABE4AF" w14:textId="0D27E4C6" w:rsidR="00EA3FAF" w:rsidRDefault="00B248C1"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Bioanalyytikon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tbl>
      <w:tblPr>
        <w:tblW w:w="0" w:type="auto"/>
        <w:tblInd w:w="105" w:type="dxa"/>
        <w:tblLayout w:type="fixed"/>
        <w:tblLook w:val="01E0" w:firstRow="1" w:lastRow="1" w:firstColumn="1" w:lastColumn="1" w:noHBand="0" w:noVBand="0"/>
      </w:tblPr>
      <w:tblGrid>
        <w:gridCol w:w="2929"/>
        <w:gridCol w:w="6431"/>
      </w:tblGrid>
      <w:tr w:rsidR="00844EBF" w:rsidRPr="00321DBB" w14:paraId="60BE9311" w14:textId="77777777" w:rsidTr="0058611E">
        <w:tc>
          <w:tcPr>
            <w:tcW w:w="2929" w:type="dxa"/>
            <w:tcBorders>
              <w:top w:val="single" w:sz="8" w:space="0" w:color="auto"/>
              <w:left w:val="single" w:sz="8" w:space="0" w:color="auto"/>
              <w:bottom w:val="single" w:sz="8" w:space="0" w:color="auto"/>
              <w:right w:val="single" w:sz="8" w:space="0" w:color="auto"/>
            </w:tcBorders>
            <w:shd w:val="clear" w:color="auto" w:fill="31A3BF"/>
          </w:tcPr>
          <w:p w14:paraId="21F5648B" w14:textId="0BF67B66" w:rsidR="00844EBF" w:rsidRPr="00A4431E" w:rsidRDefault="00844EBF" w:rsidP="0058611E">
            <w:pPr>
              <w:rPr>
                <w:rFonts w:ascii="Tahoma" w:hAnsi="Tahoma" w:cs="Tahoma"/>
                <w:b/>
                <w:bCs/>
                <w:snapToGrid w:val="0"/>
                <w:color w:val="FFFFFF" w:themeColor="background1"/>
                <w:sz w:val="20"/>
                <w:szCs w:val="20"/>
                <w:lang w:val="fi"/>
              </w:rPr>
            </w:pPr>
            <w:r w:rsidRPr="00A4431E">
              <w:rPr>
                <w:rFonts w:ascii="Tahoma" w:hAnsi="Tahoma" w:cs="Tahoma"/>
                <w:snapToGrid w:val="0"/>
                <w:color w:val="FFFFFF" w:themeColor="background1"/>
                <w:sz w:val="20"/>
                <w:szCs w:val="20"/>
              </w:rPr>
              <w:br/>
            </w:r>
            <w:r w:rsidR="007D5BD3" w:rsidRPr="00A4431E">
              <w:rPr>
                <w:rFonts w:ascii="Tahoma" w:hAnsi="Tahoma" w:cs="Tahoma"/>
                <w:b/>
                <w:bCs/>
                <w:snapToGrid w:val="0"/>
                <w:color w:val="FFFFFF" w:themeColor="background1"/>
                <w:sz w:val="20"/>
                <w:szCs w:val="20"/>
                <w:lang w:val="fi"/>
              </w:rPr>
              <w:t>Tutkinto-o</w:t>
            </w:r>
            <w:r w:rsidRPr="00A4431E">
              <w:rPr>
                <w:rFonts w:ascii="Tahoma" w:hAnsi="Tahoma" w:cs="Tahoma"/>
                <w:b/>
                <w:bCs/>
                <w:snapToGrid w:val="0"/>
                <w:color w:val="FFFFFF" w:themeColor="background1"/>
                <w:sz w:val="20"/>
                <w:szCs w:val="20"/>
                <w:lang w:val="fi"/>
              </w:rPr>
              <w:t>hjelmakohtaiset kompetenssit / Bioanalytiikan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5E1EDAD9" w14:textId="77777777" w:rsidR="00844EBF" w:rsidRPr="00A4431E" w:rsidRDefault="00844EBF" w:rsidP="0058611E">
            <w:pPr>
              <w:rPr>
                <w:rFonts w:ascii="Tahoma" w:hAnsi="Tahoma" w:cs="Tahoma"/>
                <w:b/>
                <w:bCs/>
                <w:snapToGrid w:val="0"/>
                <w:color w:val="FFFFFF" w:themeColor="background1"/>
                <w:sz w:val="20"/>
                <w:szCs w:val="20"/>
                <w:lang w:val="fi"/>
              </w:rPr>
            </w:pPr>
            <w:r w:rsidRPr="00A4431E">
              <w:rPr>
                <w:rFonts w:ascii="Tahoma" w:hAnsi="Tahoma" w:cs="Tahoma"/>
                <w:snapToGrid w:val="0"/>
                <w:color w:val="FFFFFF" w:themeColor="background1"/>
                <w:sz w:val="20"/>
                <w:szCs w:val="20"/>
              </w:rPr>
              <w:br/>
            </w:r>
            <w:r w:rsidRPr="00A4431E">
              <w:rPr>
                <w:rFonts w:ascii="Tahoma" w:hAnsi="Tahoma" w:cs="Tahoma"/>
                <w:b/>
                <w:bCs/>
                <w:snapToGrid w:val="0"/>
                <w:color w:val="FFFFFF" w:themeColor="background1"/>
                <w:sz w:val="20"/>
                <w:szCs w:val="20"/>
                <w:lang w:val="fi"/>
              </w:rPr>
              <w:t>Osaamisalueen kuvaus</w:t>
            </w:r>
          </w:p>
        </w:tc>
      </w:tr>
      <w:tr w:rsidR="00844EBF" w:rsidRPr="00321DBB" w14:paraId="5C2CBD21" w14:textId="77777777" w:rsidTr="0058611E">
        <w:tc>
          <w:tcPr>
            <w:tcW w:w="2929" w:type="dxa"/>
            <w:tcBorders>
              <w:top w:val="single" w:sz="8" w:space="0" w:color="auto"/>
              <w:left w:val="single" w:sz="8" w:space="0" w:color="auto"/>
              <w:bottom w:val="single" w:sz="8" w:space="0" w:color="auto"/>
              <w:right w:val="single" w:sz="8" w:space="0" w:color="auto"/>
            </w:tcBorders>
          </w:tcPr>
          <w:p w14:paraId="0A1CE405"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Kliinisen laboratoriotyön perusteet: </w:t>
            </w:r>
            <w:r w:rsidRPr="00321DBB">
              <w:rPr>
                <w:rFonts w:ascii="Tahoma" w:hAnsi="Tahoma" w:cs="Tahoma"/>
                <w:sz w:val="20"/>
                <w:szCs w:val="20"/>
                <w:lang w:eastAsia="fi-FI"/>
              </w:rPr>
              <w:t>  </w:t>
            </w:r>
          </w:p>
          <w:p w14:paraId="11645C6D"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Luonnontieteellinen ja lääketieteellinen osaaminen  </w:t>
            </w:r>
            <w:r w:rsidRPr="00321DBB">
              <w:rPr>
                <w:rFonts w:ascii="Tahoma" w:hAnsi="Tahoma" w:cs="Tahoma"/>
                <w:sz w:val="20"/>
                <w:szCs w:val="20"/>
                <w:lang w:eastAsia="fi-FI"/>
              </w:rPr>
              <w:t>  </w:t>
            </w:r>
          </w:p>
          <w:p w14:paraId="523A7572" w14:textId="77777777" w:rsidR="00844EBF" w:rsidRPr="00321DBB" w:rsidRDefault="00844EBF" w:rsidP="0058611E">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27B88AEE" w14:textId="77777777" w:rsidR="00844EBF" w:rsidRPr="00321DBB" w:rsidRDefault="00844EBF" w:rsidP="00844EBF">
            <w:pPr>
              <w:pStyle w:val="Luettelokappale"/>
              <w:numPr>
                <w:ilvl w:val="0"/>
                <w:numId w:val="15"/>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ymmärtää ihmisen elimistön perustoimintoja, poikkeavuuksia tautiprosesseissa ja soveltaa näitä tietoja toiminnassaan   </w:t>
            </w:r>
          </w:p>
          <w:p w14:paraId="6DB6913E" w14:textId="77777777" w:rsidR="00844EBF" w:rsidRPr="00321DBB" w:rsidRDefault="00844EBF" w:rsidP="00844EBF">
            <w:pPr>
              <w:pStyle w:val="Luettelokappale"/>
              <w:numPr>
                <w:ilvl w:val="0"/>
                <w:numId w:val="15"/>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 xml:space="preserve">käyttää biolääketieteellistä osaamistaan kliinisen laboratoriotutkimusprosessin </w:t>
            </w:r>
            <w:proofErr w:type="spellStart"/>
            <w:r w:rsidRPr="00321DBB">
              <w:rPr>
                <w:rFonts w:ascii="Tahoma" w:eastAsia="Times New Roman" w:hAnsi="Tahoma" w:cs="Tahoma"/>
                <w:sz w:val="20"/>
                <w:szCs w:val="20"/>
              </w:rPr>
              <w:t>preanalyyttisessä</w:t>
            </w:r>
            <w:proofErr w:type="spellEnd"/>
            <w:r w:rsidRPr="00321DBB">
              <w:rPr>
                <w:rFonts w:ascii="Tahoma" w:eastAsia="Times New Roman" w:hAnsi="Tahoma" w:cs="Tahoma"/>
                <w:sz w:val="20"/>
                <w:szCs w:val="20"/>
              </w:rPr>
              <w:t>, analyyttisessä ja postanalyyttisessä vaiheessa sekä näiden vaiheiden arvioinnissa  </w:t>
            </w:r>
          </w:p>
          <w:p w14:paraId="0FEEEDFD" w14:textId="77777777" w:rsidR="00844EBF" w:rsidRPr="00321DBB" w:rsidRDefault="00844EBF" w:rsidP="00844EBF">
            <w:pPr>
              <w:pStyle w:val="Luettelokappale"/>
              <w:numPr>
                <w:ilvl w:val="0"/>
                <w:numId w:val="15"/>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ymmärtää ja arvioi laboratoriotutkimusten käyttötarkoitusta asiakas- ja potilasturvallisuus huomioiden ihmisten terveyden edistämisessä, sairauksien diagnostisoinnissa, hoidon vaikuttavuuden arvioinnissa ja hoitomenetelmien kehittämisessä</w:t>
            </w:r>
          </w:p>
        </w:tc>
      </w:tr>
      <w:tr w:rsidR="00844EBF" w:rsidRPr="00321DBB" w14:paraId="17CDA8F1" w14:textId="77777777" w:rsidTr="0058611E">
        <w:tc>
          <w:tcPr>
            <w:tcW w:w="2929" w:type="dxa"/>
            <w:tcBorders>
              <w:top w:val="single" w:sz="8" w:space="0" w:color="auto"/>
              <w:left w:val="single" w:sz="8" w:space="0" w:color="auto"/>
              <w:bottom w:val="single" w:sz="8" w:space="0" w:color="auto"/>
              <w:right w:val="single" w:sz="8" w:space="0" w:color="auto"/>
            </w:tcBorders>
          </w:tcPr>
          <w:p w14:paraId="3B6079FF"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Kliininen laboratoriotyö:</w:t>
            </w:r>
            <w:r w:rsidRPr="00321DBB">
              <w:rPr>
                <w:rFonts w:ascii="Tahoma" w:hAnsi="Tahoma" w:cs="Tahoma"/>
                <w:sz w:val="20"/>
                <w:szCs w:val="20"/>
                <w:lang w:eastAsia="fi-FI"/>
              </w:rPr>
              <w:t>  </w:t>
            </w:r>
          </w:p>
          <w:p w14:paraId="7F3511C3"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 xml:space="preserve">Laboratoriotutkimus-prosessin </w:t>
            </w:r>
            <w:proofErr w:type="spellStart"/>
            <w:r w:rsidRPr="00321DBB">
              <w:rPr>
                <w:rFonts w:ascii="Tahoma" w:hAnsi="Tahoma" w:cs="Tahoma"/>
                <w:b/>
                <w:bCs/>
                <w:sz w:val="20"/>
                <w:szCs w:val="20"/>
                <w:lang w:eastAsia="fi-FI"/>
              </w:rPr>
              <w:t>preanalyyttinen</w:t>
            </w:r>
            <w:proofErr w:type="spellEnd"/>
            <w:r w:rsidRPr="00321DBB">
              <w:rPr>
                <w:rFonts w:ascii="Tahoma" w:hAnsi="Tahoma" w:cs="Tahoma"/>
                <w:b/>
                <w:bCs/>
                <w:sz w:val="20"/>
                <w:szCs w:val="20"/>
                <w:lang w:eastAsia="fi-FI"/>
              </w:rPr>
              <w:t xml:space="preserve"> vaihe</w:t>
            </w:r>
            <w:r w:rsidRPr="00321DBB">
              <w:rPr>
                <w:rFonts w:ascii="Tahoma" w:hAnsi="Tahoma" w:cs="Tahoma"/>
                <w:sz w:val="20"/>
                <w:szCs w:val="20"/>
                <w:lang w:eastAsia="fi-FI"/>
              </w:rPr>
              <w:t>  </w:t>
            </w:r>
          </w:p>
          <w:p w14:paraId="31F755C9" w14:textId="77777777" w:rsidR="00844EBF" w:rsidRPr="00321DBB" w:rsidRDefault="00844EBF" w:rsidP="0058611E">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78A2C1E1" w14:textId="77777777" w:rsidR="00844EBF" w:rsidRPr="00321DBB" w:rsidRDefault="00844EBF" w:rsidP="00844EBF">
            <w:pPr>
              <w:pStyle w:val="Luettelokappale"/>
              <w:numPr>
                <w:ilvl w:val="0"/>
                <w:numId w:val="14"/>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käyttää laboratoriotutkimusnimikkeistöä asiantuntevasti ja selittää laboratoriotutkimusten käyttötarkoituksen   </w:t>
            </w:r>
          </w:p>
          <w:p w14:paraId="16F4C7FB" w14:textId="77777777" w:rsidR="00844EBF" w:rsidRPr="00321DBB" w:rsidRDefault="00844EBF" w:rsidP="00844EBF">
            <w:pPr>
              <w:pStyle w:val="Luettelokappale"/>
              <w:numPr>
                <w:ilvl w:val="0"/>
                <w:numId w:val="14"/>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 xml:space="preserve">perustelee tutkimusten </w:t>
            </w:r>
            <w:proofErr w:type="spellStart"/>
            <w:r w:rsidRPr="00321DBB">
              <w:rPr>
                <w:rFonts w:ascii="Tahoma" w:eastAsia="Times New Roman" w:hAnsi="Tahoma" w:cs="Tahoma"/>
                <w:sz w:val="20"/>
                <w:szCs w:val="20"/>
              </w:rPr>
              <w:t>preanalyyttisen</w:t>
            </w:r>
            <w:proofErr w:type="spellEnd"/>
            <w:r w:rsidRPr="00321DBB">
              <w:rPr>
                <w:rFonts w:ascii="Tahoma" w:eastAsia="Times New Roman" w:hAnsi="Tahoma" w:cs="Tahoma"/>
                <w:sz w:val="20"/>
                <w:szCs w:val="20"/>
              </w:rPr>
              <w:t xml:space="preserve"> vaiheen vaatimukset sekä niiden kiireellisyyden ja merkityksen.  </w:t>
            </w:r>
          </w:p>
          <w:p w14:paraId="47A8A9BF" w14:textId="77777777" w:rsidR="00844EBF" w:rsidRPr="00321DBB" w:rsidRDefault="00844EBF" w:rsidP="00844EBF">
            <w:pPr>
              <w:pStyle w:val="Luettelokappale"/>
              <w:numPr>
                <w:ilvl w:val="0"/>
                <w:numId w:val="14"/>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suunnittelee perustellen asiakaslähtöisen näytteenoton ohjauksen ja neuvonnan   </w:t>
            </w:r>
          </w:p>
          <w:p w14:paraId="2C84DBC1" w14:textId="77777777" w:rsidR="00844EBF" w:rsidRPr="00321DBB" w:rsidRDefault="00844EBF" w:rsidP="00844EBF">
            <w:pPr>
              <w:pStyle w:val="Luettelokappale"/>
              <w:numPr>
                <w:ilvl w:val="0"/>
                <w:numId w:val="14"/>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lastRenderedPageBreak/>
              <w:t>suunnittelee ja toteuttaa laatujärjestelmän mukaisesti näytteenoton, näytteiden käsittelyn, säilytyksen ja kuljetuksen   </w:t>
            </w:r>
          </w:p>
          <w:p w14:paraId="7FEF4D02" w14:textId="77777777" w:rsidR="00844EBF" w:rsidRPr="00321DBB" w:rsidRDefault="00844EBF" w:rsidP="00844EBF">
            <w:pPr>
              <w:pStyle w:val="Luettelokappale"/>
              <w:numPr>
                <w:ilvl w:val="0"/>
                <w:numId w:val="14"/>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huolehtii asiantuntevasti potilaan turvallisuudesta ja hyvinvoinnista näytteenotossa ja potilastutkimuksissa  </w:t>
            </w:r>
          </w:p>
          <w:p w14:paraId="1A6A3406" w14:textId="77777777" w:rsidR="00844EBF" w:rsidRPr="00321DBB" w:rsidRDefault="00844EBF" w:rsidP="00844EBF">
            <w:pPr>
              <w:pStyle w:val="Luettelokappale"/>
              <w:numPr>
                <w:ilvl w:val="0"/>
                <w:numId w:val="14"/>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perustelee toimintaansa ja toimii potilaan yksityisyyttä ja oikeuksia säätelevän lainsäädännön keskeisen sisällön mukaisesti  </w:t>
            </w:r>
          </w:p>
          <w:p w14:paraId="775A8C0A" w14:textId="77777777" w:rsidR="00844EBF" w:rsidRPr="00321DBB" w:rsidRDefault="00844EBF" w:rsidP="00844EBF">
            <w:pPr>
              <w:pStyle w:val="Luettelokappale"/>
              <w:numPr>
                <w:ilvl w:val="0"/>
                <w:numId w:val="14"/>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 xml:space="preserve">toimii asiantuntevasti kansainvälisten ja kansallisten </w:t>
            </w:r>
            <w:proofErr w:type="spellStart"/>
            <w:r w:rsidRPr="00321DBB">
              <w:rPr>
                <w:rFonts w:ascii="Tahoma" w:eastAsia="Times New Roman" w:hAnsi="Tahoma" w:cs="Tahoma"/>
                <w:sz w:val="20"/>
                <w:szCs w:val="20"/>
              </w:rPr>
              <w:t>preanalyyttistä</w:t>
            </w:r>
            <w:proofErr w:type="spellEnd"/>
            <w:r w:rsidRPr="00321DBB">
              <w:rPr>
                <w:rFonts w:ascii="Tahoma" w:eastAsia="Times New Roman" w:hAnsi="Tahoma" w:cs="Tahoma"/>
                <w:sz w:val="20"/>
                <w:szCs w:val="20"/>
              </w:rPr>
              <w:t xml:space="preserve"> toimintaa ohjaavien suosituksien perusteella potilas- ja näytetutkimuksissa </w:t>
            </w:r>
          </w:p>
          <w:p w14:paraId="67BB4EDF" w14:textId="77777777" w:rsidR="00844EBF" w:rsidRPr="00321DBB" w:rsidRDefault="00844EBF" w:rsidP="00844EBF">
            <w:pPr>
              <w:pStyle w:val="Luettelokappale"/>
              <w:numPr>
                <w:ilvl w:val="0"/>
                <w:numId w:val="14"/>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organisoi ja kehittää näytteenottotoimintaa näyttöön perustuvasti yhteistyössä muun henkilöstön kanssa.   </w:t>
            </w:r>
            <w:r w:rsidRPr="00321DBB">
              <w:rPr>
                <w:rFonts w:ascii="Tahoma" w:hAnsi="Tahoma" w:cs="Tahoma"/>
                <w:snapToGrid w:val="0"/>
                <w:sz w:val="20"/>
                <w:szCs w:val="20"/>
                <w:lang w:val="fi"/>
              </w:rPr>
              <w:t xml:space="preserve"> </w:t>
            </w:r>
          </w:p>
        </w:tc>
      </w:tr>
      <w:tr w:rsidR="00844EBF" w:rsidRPr="00321DBB" w14:paraId="134D8602" w14:textId="77777777" w:rsidTr="0058611E">
        <w:tc>
          <w:tcPr>
            <w:tcW w:w="2929" w:type="dxa"/>
            <w:tcBorders>
              <w:top w:val="single" w:sz="8" w:space="0" w:color="auto"/>
              <w:left w:val="single" w:sz="8" w:space="0" w:color="auto"/>
              <w:bottom w:val="single" w:sz="8" w:space="0" w:color="auto"/>
              <w:right w:val="single" w:sz="8" w:space="0" w:color="auto"/>
            </w:tcBorders>
          </w:tcPr>
          <w:p w14:paraId="47D6D68E"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lastRenderedPageBreak/>
              <w:t>Kliininen laboratoriotyö:</w:t>
            </w:r>
            <w:r w:rsidRPr="00321DBB">
              <w:rPr>
                <w:rFonts w:ascii="Tahoma" w:hAnsi="Tahoma" w:cs="Tahoma"/>
                <w:sz w:val="20"/>
                <w:szCs w:val="20"/>
                <w:lang w:eastAsia="fi-FI"/>
              </w:rPr>
              <w:t>  </w:t>
            </w:r>
          </w:p>
          <w:p w14:paraId="17F1D77C"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Laboratoriotutkimus-</w:t>
            </w:r>
            <w:r w:rsidRPr="00321DBB">
              <w:rPr>
                <w:rFonts w:ascii="Tahoma" w:hAnsi="Tahoma" w:cs="Tahoma"/>
                <w:sz w:val="20"/>
                <w:szCs w:val="20"/>
                <w:lang w:eastAsia="fi-FI"/>
              </w:rPr>
              <w:t>  </w:t>
            </w:r>
          </w:p>
          <w:p w14:paraId="33E477FB"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prosessin analyyttinen osaaminen</w:t>
            </w:r>
            <w:r w:rsidRPr="00321DBB">
              <w:rPr>
                <w:rFonts w:ascii="Tahoma" w:hAnsi="Tahoma" w:cs="Tahoma"/>
                <w:sz w:val="20"/>
                <w:szCs w:val="20"/>
                <w:lang w:eastAsia="fi-FI"/>
              </w:rPr>
              <w:t>  </w:t>
            </w:r>
          </w:p>
          <w:p w14:paraId="5EDB9A0B" w14:textId="77777777" w:rsidR="00844EBF" w:rsidRPr="00321DBB" w:rsidRDefault="00844EBF" w:rsidP="0058611E">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29B18B3D" w14:textId="77777777" w:rsidR="00844EBF" w:rsidRPr="00321DBB" w:rsidRDefault="00844EBF" w:rsidP="00844EBF">
            <w:pPr>
              <w:pStyle w:val="Luettelokappale"/>
              <w:numPr>
                <w:ilvl w:val="0"/>
                <w:numId w:val="13"/>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tekee kliinisen fysiologian ja isotooppilääketieteen sekä kliinisen neurofysiologian potilastutkimuksia laatuvaatimusten ja suositusten mukaisesti</w:t>
            </w:r>
          </w:p>
          <w:p w14:paraId="1B376493" w14:textId="77777777" w:rsidR="00844EBF" w:rsidRPr="00321DBB" w:rsidRDefault="00844EBF" w:rsidP="00844EBF">
            <w:pPr>
              <w:pStyle w:val="Luettelokappale"/>
              <w:numPr>
                <w:ilvl w:val="0"/>
                <w:numId w:val="13"/>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 xml:space="preserve">analysoi kliinisen hematologian, </w:t>
            </w:r>
            <w:proofErr w:type="spellStart"/>
            <w:r w:rsidRPr="00321DBB">
              <w:rPr>
                <w:rFonts w:ascii="Tahoma" w:eastAsia="Times New Roman" w:hAnsi="Tahoma" w:cs="Tahoma"/>
                <w:sz w:val="20"/>
                <w:szCs w:val="20"/>
              </w:rPr>
              <w:t>immunohematologian</w:t>
            </w:r>
            <w:proofErr w:type="spellEnd"/>
            <w:r w:rsidRPr="00321DBB">
              <w:rPr>
                <w:rFonts w:ascii="Tahoma" w:eastAsia="Times New Roman" w:hAnsi="Tahoma" w:cs="Tahoma"/>
                <w:sz w:val="20"/>
                <w:szCs w:val="20"/>
              </w:rPr>
              <w:t>, kliinisen histologian ja sytologian, kliinisen immunologian, kliinisen biokemian, kliinisen mikrobiologian, kliinisen genetiikan ja molekyylibiologian tutkimuksia laatuvaatimusten ja suositusten mukaisesti</w:t>
            </w:r>
          </w:p>
          <w:p w14:paraId="371A24D5" w14:textId="77777777" w:rsidR="00844EBF" w:rsidRPr="00321DBB" w:rsidRDefault="00844EBF" w:rsidP="00844EBF">
            <w:pPr>
              <w:pStyle w:val="Luettelokappale"/>
              <w:numPr>
                <w:ilvl w:val="0"/>
                <w:numId w:val="13"/>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ymmärtää laboratoriomenetelmien ja laitteiden periaatteita ja osaa soveltaa niitä   </w:t>
            </w:r>
          </w:p>
          <w:p w14:paraId="0103D986" w14:textId="77777777" w:rsidR="00844EBF" w:rsidRPr="00321DBB" w:rsidRDefault="00844EBF" w:rsidP="00844EBF">
            <w:pPr>
              <w:pStyle w:val="Luettelokappale"/>
              <w:numPr>
                <w:ilvl w:val="0"/>
                <w:numId w:val="13"/>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toteuttaa sisäistä laadunohjausta ja ulkoisen laadunvarmistuksen ohjelmia, selittää ja perustelee niiden menetelmiä ja tulkintaa sekä sitoutuu toimimaan niiden edellyttämällä tavalla  </w:t>
            </w:r>
          </w:p>
          <w:p w14:paraId="0BBC8A80" w14:textId="77777777" w:rsidR="00844EBF" w:rsidRPr="00321DBB" w:rsidRDefault="00844EBF" w:rsidP="00844EBF">
            <w:pPr>
              <w:pStyle w:val="Luettelokappale"/>
              <w:numPr>
                <w:ilvl w:val="0"/>
                <w:numId w:val="13"/>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arvioi ja kehittää analyysiprosessin toimivuutta moniammatillisesti   </w:t>
            </w:r>
          </w:p>
          <w:p w14:paraId="5B1A1968" w14:textId="77777777" w:rsidR="00844EBF" w:rsidRPr="00321DBB" w:rsidRDefault="00844EBF" w:rsidP="00844EBF">
            <w:pPr>
              <w:pStyle w:val="Luettelokappale"/>
              <w:numPr>
                <w:ilvl w:val="0"/>
                <w:numId w:val="13"/>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toimii uusien menetelmien kehittämisessä, laitehankinnoissa sekä uusien laitteiden ja menetelmien käyttöönottoprosessissa </w:t>
            </w:r>
            <w:r w:rsidRPr="00321DBB">
              <w:rPr>
                <w:rFonts w:ascii="Tahoma" w:hAnsi="Tahoma" w:cs="Tahoma"/>
                <w:snapToGrid w:val="0"/>
                <w:sz w:val="20"/>
                <w:szCs w:val="20"/>
                <w:lang w:val="fi"/>
              </w:rPr>
              <w:t xml:space="preserve"> </w:t>
            </w:r>
          </w:p>
        </w:tc>
      </w:tr>
      <w:tr w:rsidR="00844EBF" w:rsidRPr="00321DBB" w14:paraId="7DFF5235" w14:textId="77777777" w:rsidTr="0058611E">
        <w:tc>
          <w:tcPr>
            <w:tcW w:w="2929" w:type="dxa"/>
            <w:tcBorders>
              <w:top w:val="single" w:sz="8" w:space="0" w:color="auto"/>
              <w:left w:val="single" w:sz="8" w:space="0" w:color="auto"/>
              <w:bottom w:val="single" w:sz="8" w:space="0" w:color="auto"/>
              <w:right w:val="single" w:sz="8" w:space="0" w:color="auto"/>
            </w:tcBorders>
          </w:tcPr>
          <w:p w14:paraId="201AC701"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Kliininen laboratoriotyö:</w:t>
            </w:r>
            <w:r w:rsidRPr="00321DBB">
              <w:rPr>
                <w:rFonts w:ascii="Tahoma" w:hAnsi="Tahoma" w:cs="Tahoma"/>
                <w:sz w:val="20"/>
                <w:szCs w:val="20"/>
                <w:lang w:eastAsia="fi-FI"/>
              </w:rPr>
              <w:t>  </w:t>
            </w:r>
          </w:p>
          <w:p w14:paraId="3E5147C2"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Laboratoriotutkimus-prosessin postanalyyttinen vaihe</w:t>
            </w:r>
            <w:r w:rsidRPr="00321DBB">
              <w:rPr>
                <w:rFonts w:ascii="Tahoma" w:hAnsi="Tahoma" w:cs="Tahoma"/>
                <w:sz w:val="20"/>
                <w:szCs w:val="20"/>
                <w:lang w:eastAsia="fi-FI"/>
              </w:rPr>
              <w:t>  </w:t>
            </w:r>
          </w:p>
          <w:p w14:paraId="4F3AA183" w14:textId="77777777" w:rsidR="00844EBF" w:rsidRPr="00321DBB" w:rsidRDefault="00844EBF" w:rsidP="0058611E">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1752F5BC" w14:textId="77777777" w:rsidR="00844EBF" w:rsidRPr="00321DBB" w:rsidRDefault="00844EBF" w:rsidP="00844EBF">
            <w:pPr>
              <w:pStyle w:val="Luettelokappale"/>
              <w:numPr>
                <w:ilvl w:val="0"/>
                <w:numId w:val="12"/>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arvioi laboratoriotutkimustulosten kiireellisyyden sekä niistä tiedottamisen merkityksen potilaan hoidossa ja toimii niiden edellyttämällä tavalla  </w:t>
            </w:r>
          </w:p>
          <w:p w14:paraId="64A9EA49" w14:textId="77777777" w:rsidR="00844EBF" w:rsidRPr="00321DBB" w:rsidRDefault="00844EBF" w:rsidP="00844EBF">
            <w:pPr>
              <w:pStyle w:val="Luettelokappale"/>
              <w:numPr>
                <w:ilvl w:val="0"/>
                <w:numId w:val="12"/>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arvioi laboratoriotulosten ja -tutkimusprosessin luotettavuutta suhteessa laboratorion laatujärjestelmään ja potilaan tilaan  </w:t>
            </w:r>
          </w:p>
          <w:p w14:paraId="658DED2D" w14:textId="77777777" w:rsidR="00844EBF" w:rsidRPr="00321DBB" w:rsidRDefault="00844EBF" w:rsidP="00844EBF">
            <w:pPr>
              <w:pStyle w:val="Luettelokappale"/>
              <w:numPr>
                <w:ilvl w:val="0"/>
                <w:numId w:val="12"/>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arvioi postanalyyttisen vaiheen päätöksentekoon liittyviä tekijöitä ja kehittää päätöksentekotaitojaan  </w:t>
            </w:r>
          </w:p>
          <w:p w14:paraId="10D0BE74" w14:textId="77777777" w:rsidR="00844EBF" w:rsidRPr="00321DBB" w:rsidRDefault="00844EBF" w:rsidP="00844EBF">
            <w:pPr>
              <w:pStyle w:val="Luettelokappale"/>
              <w:numPr>
                <w:ilvl w:val="0"/>
                <w:numId w:val="12"/>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raportoi laboratoriotutkimustulokset omassa yksikössään sekä hoitoyksiköille tietojärjestelmiä käyttäen  </w:t>
            </w:r>
          </w:p>
          <w:p w14:paraId="33271938" w14:textId="77777777" w:rsidR="00844EBF" w:rsidRPr="00321DBB" w:rsidRDefault="00844EBF" w:rsidP="00844EBF">
            <w:pPr>
              <w:pStyle w:val="Luettelokappale"/>
              <w:numPr>
                <w:ilvl w:val="0"/>
                <w:numId w:val="12"/>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huolehtii asiantuntevasti potilaan hyvinvoinnista ja turvallisuudesta potilastutkimusten aikana ja niiden jälkeen  </w:t>
            </w:r>
          </w:p>
        </w:tc>
      </w:tr>
      <w:tr w:rsidR="00844EBF" w:rsidRPr="00321DBB" w14:paraId="1A9293ED" w14:textId="77777777" w:rsidTr="0058611E">
        <w:tc>
          <w:tcPr>
            <w:tcW w:w="2929" w:type="dxa"/>
            <w:tcBorders>
              <w:top w:val="single" w:sz="8" w:space="0" w:color="auto"/>
              <w:left w:val="single" w:sz="8" w:space="0" w:color="auto"/>
              <w:bottom w:val="single" w:sz="8" w:space="0" w:color="auto"/>
              <w:right w:val="single" w:sz="8" w:space="0" w:color="auto"/>
            </w:tcBorders>
          </w:tcPr>
          <w:p w14:paraId="4701A56D"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Asiakaspalvelu- ja ohjausosaaminen</w:t>
            </w:r>
            <w:r w:rsidRPr="00321DBB">
              <w:rPr>
                <w:rFonts w:ascii="Tahoma" w:hAnsi="Tahoma" w:cs="Tahoma"/>
                <w:sz w:val="20"/>
                <w:szCs w:val="20"/>
                <w:lang w:eastAsia="fi-FI"/>
              </w:rPr>
              <w:t>  </w:t>
            </w:r>
          </w:p>
          <w:p w14:paraId="25342F46" w14:textId="77777777" w:rsidR="00844EBF" w:rsidRPr="00321DBB" w:rsidRDefault="00844EBF" w:rsidP="0058611E">
            <w:pPr>
              <w:rPr>
                <w:rFonts w:ascii="Tahoma" w:hAnsi="Tahoma" w:cs="Tahoma"/>
                <w:snapToGrid w:val="0"/>
                <w:sz w:val="20"/>
                <w:szCs w:val="20"/>
              </w:rPr>
            </w:pPr>
          </w:p>
          <w:p w14:paraId="5E0660C0" w14:textId="77777777" w:rsidR="00844EBF" w:rsidRPr="00321DBB" w:rsidRDefault="00844EBF" w:rsidP="0058611E">
            <w:pPr>
              <w:rPr>
                <w:rFonts w:ascii="Tahoma" w:hAnsi="Tahoma" w:cs="Tahoma"/>
                <w:snapToGrid w:val="0"/>
                <w:sz w:val="20"/>
                <w:szCs w:val="20"/>
              </w:rPr>
            </w:pPr>
            <w:r w:rsidRPr="00321DBB">
              <w:rPr>
                <w:rFonts w:ascii="Tahoma" w:hAnsi="Tahoma" w:cs="Tahoma"/>
                <w:b/>
                <w:bCs/>
                <w:snapToGrid w:val="0"/>
                <w:sz w:val="20"/>
                <w:szCs w:val="20"/>
                <w:lang w:val="fi"/>
              </w:rPr>
              <w:t xml:space="preserve"> </w:t>
            </w:r>
          </w:p>
        </w:tc>
        <w:tc>
          <w:tcPr>
            <w:tcW w:w="6431" w:type="dxa"/>
            <w:tcBorders>
              <w:top w:val="single" w:sz="8" w:space="0" w:color="auto"/>
              <w:left w:val="single" w:sz="8" w:space="0" w:color="auto"/>
              <w:bottom w:val="single" w:sz="8" w:space="0" w:color="auto"/>
              <w:right w:val="single" w:sz="8" w:space="0" w:color="auto"/>
            </w:tcBorders>
          </w:tcPr>
          <w:p w14:paraId="35BA9B2A"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aloitteellisesti ja vastuullisesti asiakassuhteissa   </w:t>
            </w:r>
          </w:p>
          <w:p w14:paraId="52DF65EF"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suunnittelee ja toteuttaa laboratoriopalveluita asiakaslähtöisesti  </w:t>
            </w:r>
          </w:p>
          <w:p w14:paraId="5F566D32"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suunnittelee ja tekee opetuksessa ja ohjauksessa tarvittavaa materiaalia ja vastaa omalta osaltaan muun terveydenhuoltohenkilöstön koulutuksesta ja potilaiden ohjauksesta  </w:t>
            </w:r>
          </w:p>
          <w:p w14:paraId="11A7FC2C"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suunnittelee ja toteuttaa laboratoriopalveluihin liittyvän opetuksen, ohjauksen ja neuvonnan  </w:t>
            </w:r>
          </w:p>
          <w:p w14:paraId="7481D1C3"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kehittää yhteistyötä laboratorion sisäisten ja ulkoisten asiakkaiden kanssa hyvän palvelun periaatteiden mukaisesti  </w:t>
            </w:r>
          </w:p>
          <w:p w14:paraId="3359255E"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kehittää terveysalan laboratoriopalvelutoiminnassa ja tieteellisessä tutkimustyössä tarvittavaa opetus- ja ohjausosaamistaan  </w:t>
            </w:r>
          </w:p>
          <w:p w14:paraId="7DFB66FA" w14:textId="77777777" w:rsidR="00844EBF" w:rsidRPr="00321DBB" w:rsidRDefault="00844EBF" w:rsidP="00844EBF">
            <w:pPr>
              <w:pStyle w:val="Luettelokappale"/>
              <w:numPr>
                <w:ilvl w:val="0"/>
                <w:numId w:val="11"/>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lastRenderedPageBreak/>
              <w:t xml:space="preserve">osallistuu oman alansa asiantuntijana moniammatillisten tiimien toimintaan ja potilaan hoitoon </w:t>
            </w:r>
          </w:p>
          <w:p w14:paraId="30AA913D" w14:textId="77777777" w:rsidR="00844EBF" w:rsidRPr="00321DBB" w:rsidRDefault="00844EBF" w:rsidP="00844EBF">
            <w:pPr>
              <w:pStyle w:val="Luettelokappale"/>
              <w:numPr>
                <w:ilvl w:val="0"/>
                <w:numId w:val="11"/>
              </w:numPr>
              <w:spacing w:after="0" w:line="240" w:lineRule="auto"/>
              <w:textAlignment w:val="baseline"/>
              <w:rPr>
                <w:rFonts w:ascii="Tahoma" w:hAnsi="Tahoma" w:cs="Tahoma"/>
                <w:snapToGrid w:val="0"/>
                <w:sz w:val="20"/>
                <w:szCs w:val="20"/>
                <w:lang w:val="fi"/>
              </w:rPr>
            </w:pPr>
            <w:r w:rsidRPr="00321DBB">
              <w:rPr>
                <w:rFonts w:ascii="Tahoma" w:eastAsia="Times New Roman" w:hAnsi="Tahoma" w:cs="Tahoma"/>
                <w:sz w:val="20"/>
                <w:szCs w:val="20"/>
              </w:rPr>
              <w:t>toimii vierianalytiikan asiantuntijana  </w:t>
            </w:r>
            <w:r w:rsidRPr="00321DBB">
              <w:rPr>
                <w:rFonts w:ascii="Tahoma" w:hAnsi="Tahoma" w:cs="Tahoma"/>
                <w:snapToGrid w:val="0"/>
                <w:sz w:val="20"/>
                <w:szCs w:val="20"/>
                <w:lang w:val="fi"/>
              </w:rPr>
              <w:t xml:space="preserve"> </w:t>
            </w:r>
          </w:p>
        </w:tc>
      </w:tr>
      <w:tr w:rsidR="00844EBF" w:rsidRPr="00321DBB" w14:paraId="595837D0" w14:textId="77777777" w:rsidTr="0058611E">
        <w:tc>
          <w:tcPr>
            <w:tcW w:w="2929" w:type="dxa"/>
            <w:tcBorders>
              <w:top w:val="single" w:sz="8" w:space="0" w:color="auto"/>
              <w:left w:val="single" w:sz="8" w:space="0" w:color="auto"/>
              <w:bottom w:val="single" w:sz="8" w:space="0" w:color="auto"/>
              <w:right w:val="single" w:sz="8" w:space="0" w:color="auto"/>
            </w:tcBorders>
          </w:tcPr>
          <w:p w14:paraId="04419882"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lastRenderedPageBreak/>
              <w:t>Laatu-, turvallisuus- ja riskien hallintaosaaminen</w:t>
            </w:r>
            <w:r w:rsidRPr="00321DBB">
              <w:rPr>
                <w:rFonts w:ascii="Tahoma" w:hAnsi="Tahoma" w:cs="Tahoma"/>
                <w:sz w:val="20"/>
                <w:szCs w:val="20"/>
                <w:lang w:eastAsia="fi-FI"/>
              </w:rPr>
              <w:t>  </w:t>
            </w:r>
          </w:p>
          <w:p w14:paraId="6384698C" w14:textId="77777777" w:rsidR="00844EBF" w:rsidRPr="00321DBB" w:rsidRDefault="00844EBF" w:rsidP="0058611E">
            <w:pPr>
              <w:textAlignment w:val="baseline"/>
              <w:rPr>
                <w:rFonts w:ascii="Tahoma" w:hAnsi="Tahoma" w:cs="Tahoma"/>
                <w:b/>
                <w:bCs/>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69D21425"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laatujärjestelmän edellyttämällä tavalla.  </w:t>
            </w:r>
          </w:p>
          <w:p w14:paraId="3B5BCC0C"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arvioi laboratoriotutkimusprosessia ja tulkitsee sen merkitystä potilaan hoidossa tai osana tieteellistä tutkimusta  </w:t>
            </w:r>
          </w:p>
          <w:p w14:paraId="4BAFC4D2"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ottaa huomioon potilas- ja asiakasturvallisuuden työskentelyssään ja luo turvallisen ilmapiirin potilaskontakteissa </w:t>
            </w:r>
          </w:p>
          <w:p w14:paraId="311E8BAD"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laboratorion potilas- ja työturvallisuusohjeiden ja -säädösten mukaisesti </w:t>
            </w:r>
          </w:p>
          <w:p w14:paraId="7BE12816"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riskien hallintajärjestelmän mukaisesti ja ennakoi riskejä  </w:t>
            </w:r>
          </w:p>
          <w:p w14:paraId="07CBD5B2"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osaa toimia poikkeusoloissa ja -tilanteissa  </w:t>
            </w:r>
          </w:p>
          <w:p w14:paraId="31D1D153" w14:textId="77777777" w:rsidR="00844EBF" w:rsidRPr="00321DBB" w:rsidRDefault="00844EBF" w:rsidP="00844EBF">
            <w:pPr>
              <w:pStyle w:val="Luettelokappale"/>
              <w:numPr>
                <w:ilvl w:val="0"/>
                <w:numId w:val="11"/>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kehittää laboratoriotoimintaa laatujärjestelmän ja kestävän kehityksen mukaisesti  </w:t>
            </w:r>
          </w:p>
        </w:tc>
      </w:tr>
      <w:tr w:rsidR="00844EBF" w:rsidRPr="00321DBB" w14:paraId="62B3C7ED" w14:textId="77777777" w:rsidTr="0058611E">
        <w:tc>
          <w:tcPr>
            <w:tcW w:w="2929" w:type="dxa"/>
            <w:tcBorders>
              <w:top w:val="single" w:sz="8" w:space="0" w:color="auto"/>
              <w:left w:val="single" w:sz="8" w:space="0" w:color="auto"/>
              <w:bottom w:val="single" w:sz="8" w:space="0" w:color="auto"/>
              <w:right w:val="single" w:sz="8" w:space="0" w:color="auto"/>
            </w:tcBorders>
          </w:tcPr>
          <w:p w14:paraId="28621E86"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Laboratoriotyön ammattieettinen osaaminen ja ammatillisuus</w:t>
            </w:r>
            <w:r w:rsidRPr="00321DBB">
              <w:rPr>
                <w:rFonts w:ascii="Tahoma" w:hAnsi="Tahoma" w:cs="Tahoma"/>
                <w:sz w:val="20"/>
                <w:szCs w:val="20"/>
                <w:lang w:eastAsia="fi-FI"/>
              </w:rPr>
              <w:t>  </w:t>
            </w:r>
          </w:p>
          <w:p w14:paraId="5739CD1A" w14:textId="77777777" w:rsidR="00844EBF" w:rsidRPr="00321DBB" w:rsidRDefault="00844EBF" w:rsidP="0058611E">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5F7E30CA" w14:textId="77777777" w:rsidR="00844EBF" w:rsidRPr="00321DBB" w:rsidRDefault="00844EBF" w:rsidP="00844EBF">
            <w:pPr>
              <w:pStyle w:val="Luettelokappale"/>
              <w:numPr>
                <w:ilvl w:val="0"/>
                <w:numId w:val="10"/>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kliinisen laboratorioalan ja terveydenhuollon arvojen ja ammattieettisten periaatteiden mukaisesti  </w:t>
            </w:r>
          </w:p>
          <w:p w14:paraId="0722A721" w14:textId="77777777" w:rsidR="00844EBF" w:rsidRPr="00321DBB" w:rsidRDefault="00844EBF" w:rsidP="00844EBF">
            <w:pPr>
              <w:pStyle w:val="Luettelokappale"/>
              <w:numPr>
                <w:ilvl w:val="0"/>
                <w:numId w:val="10"/>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tuo esiin omia ammattieettisiä näkökulmia sosiaali- ja terveysalalla ja käy ammattieettistä vuoropuhelua  </w:t>
            </w:r>
          </w:p>
          <w:p w14:paraId="5772461F" w14:textId="77777777" w:rsidR="00844EBF" w:rsidRPr="00321DBB" w:rsidRDefault="00844EBF" w:rsidP="00844EBF">
            <w:pPr>
              <w:pStyle w:val="Luettelokappale"/>
              <w:numPr>
                <w:ilvl w:val="0"/>
                <w:numId w:val="10"/>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ottaa vastuun ammatillisesta kehittymisestään   </w:t>
            </w:r>
          </w:p>
          <w:p w14:paraId="55F908C0" w14:textId="77777777" w:rsidR="00844EBF" w:rsidRPr="00321DBB" w:rsidRDefault="00844EBF" w:rsidP="00844EBF">
            <w:pPr>
              <w:pStyle w:val="Luettelokappale"/>
              <w:numPr>
                <w:ilvl w:val="0"/>
                <w:numId w:val="10"/>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tietosuojan edellyttämällä tavalla potilas - ja tutkimustyössä   </w:t>
            </w:r>
          </w:p>
          <w:p w14:paraId="4DD18065" w14:textId="77777777" w:rsidR="00844EBF" w:rsidRPr="00321DBB" w:rsidRDefault="00844EBF" w:rsidP="00844EBF">
            <w:pPr>
              <w:pStyle w:val="Luettelokappale"/>
              <w:numPr>
                <w:ilvl w:val="0"/>
                <w:numId w:val="10"/>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käsittelee biologista materiaalia lainsäädännön edellyttämällä tavalla ja toimii potilaan oikeuksia kunnioittaen   </w:t>
            </w:r>
          </w:p>
          <w:p w14:paraId="793789F0" w14:textId="77777777" w:rsidR="00844EBF" w:rsidRPr="00321DBB" w:rsidRDefault="00844EBF" w:rsidP="00844EBF">
            <w:pPr>
              <w:pStyle w:val="Luettelokappale"/>
              <w:numPr>
                <w:ilvl w:val="0"/>
                <w:numId w:val="10"/>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kollegiaalisesti ja kehittää työyhteisöä eettisesti kestävällä tavalla  </w:t>
            </w:r>
          </w:p>
        </w:tc>
      </w:tr>
      <w:tr w:rsidR="00844EBF" w:rsidRPr="00321DBB" w14:paraId="044DD347" w14:textId="77777777" w:rsidTr="0058611E">
        <w:tc>
          <w:tcPr>
            <w:tcW w:w="2929" w:type="dxa"/>
            <w:tcBorders>
              <w:top w:val="single" w:sz="8" w:space="0" w:color="auto"/>
              <w:left w:val="single" w:sz="8" w:space="0" w:color="auto"/>
              <w:bottom w:val="single" w:sz="8" w:space="0" w:color="auto"/>
              <w:right w:val="single" w:sz="8" w:space="0" w:color="auto"/>
            </w:tcBorders>
          </w:tcPr>
          <w:p w14:paraId="2609C629" w14:textId="77777777" w:rsidR="00844EBF" w:rsidRPr="00321DBB" w:rsidRDefault="00844EBF" w:rsidP="0058611E">
            <w:pPr>
              <w:textAlignment w:val="baseline"/>
              <w:rPr>
                <w:rFonts w:ascii="Tahoma" w:hAnsi="Tahoma" w:cs="Tahoma"/>
                <w:sz w:val="20"/>
                <w:szCs w:val="20"/>
                <w:lang w:eastAsia="fi-FI"/>
              </w:rPr>
            </w:pPr>
            <w:r w:rsidRPr="00321DBB">
              <w:rPr>
                <w:rFonts w:ascii="Tahoma" w:hAnsi="Tahoma" w:cs="Tahoma"/>
                <w:b/>
                <w:bCs/>
                <w:sz w:val="20"/>
                <w:szCs w:val="20"/>
                <w:lang w:eastAsia="fi-FI"/>
              </w:rPr>
              <w:t>Tutkimus-, kehittämis- ja johtamisosaaminen</w:t>
            </w:r>
            <w:r w:rsidRPr="00321DBB">
              <w:rPr>
                <w:rFonts w:ascii="Tahoma" w:hAnsi="Tahoma" w:cs="Tahoma"/>
                <w:sz w:val="20"/>
                <w:szCs w:val="20"/>
                <w:lang w:eastAsia="fi-FI"/>
              </w:rPr>
              <w:t>  </w:t>
            </w:r>
          </w:p>
          <w:p w14:paraId="6003DE6C" w14:textId="77777777" w:rsidR="00844EBF" w:rsidRPr="00321DBB" w:rsidRDefault="00844EBF" w:rsidP="0058611E">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0F78B2AC" w14:textId="77777777" w:rsidR="00844EBF" w:rsidRPr="00321DBB" w:rsidRDefault="00844EBF" w:rsidP="00844EBF">
            <w:pPr>
              <w:pStyle w:val="Luettelokappale"/>
              <w:numPr>
                <w:ilvl w:val="0"/>
                <w:numId w:val="9"/>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osallistuu terveydenhuollon ja kliinisen laboratoriotoiminnan kehittämishankkeisiin ja -projekteihin moniammatillisissa tiimeissä  </w:t>
            </w:r>
          </w:p>
          <w:p w14:paraId="246B375E" w14:textId="77777777" w:rsidR="00844EBF" w:rsidRPr="00321DBB" w:rsidRDefault="00844EBF" w:rsidP="00844EBF">
            <w:pPr>
              <w:pStyle w:val="Luettelokappale"/>
              <w:numPr>
                <w:ilvl w:val="0"/>
                <w:numId w:val="9"/>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sisäisen yrittäjyyden periaatteiden mukaisesti ja toimii yrittäjämäisesti eri toimintaympäristöissä  </w:t>
            </w:r>
          </w:p>
          <w:p w14:paraId="4037E48B" w14:textId="77777777" w:rsidR="00844EBF" w:rsidRPr="00321DBB" w:rsidRDefault="00844EBF" w:rsidP="00844EBF">
            <w:pPr>
              <w:pStyle w:val="Luettelokappale"/>
              <w:numPr>
                <w:ilvl w:val="0"/>
                <w:numId w:val="9"/>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hyödyntää asiantuntevasti näyttöön perustuvaa tietoa terveysalan laboratoriopalvelutuotantoprosessissa ja sen kehittämisessä  </w:t>
            </w:r>
          </w:p>
          <w:p w14:paraId="3B4788B4" w14:textId="77777777" w:rsidR="00844EBF" w:rsidRPr="00321DBB" w:rsidRDefault="00844EBF" w:rsidP="00844EBF">
            <w:pPr>
              <w:pStyle w:val="Luettelokappale"/>
              <w:numPr>
                <w:ilvl w:val="0"/>
                <w:numId w:val="9"/>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taloudellisesti ja kustannusvaikuttavasti sekä markkinoi terveysalan laboratoriopalvelujen asiantuntijuuttaan hyödynnettäväksi potilaan hoidossa   </w:t>
            </w:r>
          </w:p>
          <w:p w14:paraId="425443EC" w14:textId="77777777" w:rsidR="00844EBF" w:rsidRPr="00321DBB" w:rsidRDefault="00844EBF" w:rsidP="00844EBF">
            <w:pPr>
              <w:pStyle w:val="Luettelokappale"/>
              <w:numPr>
                <w:ilvl w:val="0"/>
                <w:numId w:val="9"/>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osallistuu talouden suunnitteluun, tuotteiden hinnoitteluun sekä palveluiden hankintaan yhteistyössä muiden ammattilaisten kanssa  </w:t>
            </w:r>
          </w:p>
          <w:p w14:paraId="35BE891B" w14:textId="77777777" w:rsidR="00844EBF" w:rsidRPr="00321DBB" w:rsidRDefault="00844EBF" w:rsidP="00844EBF">
            <w:pPr>
              <w:pStyle w:val="Luettelokappale"/>
              <w:numPr>
                <w:ilvl w:val="0"/>
                <w:numId w:val="9"/>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toimii tiimivastaavana tai vastuutehtävissä   </w:t>
            </w:r>
          </w:p>
          <w:p w14:paraId="699E9883" w14:textId="77777777" w:rsidR="00844EBF" w:rsidRPr="00321DBB" w:rsidRDefault="00844EBF" w:rsidP="00844EBF">
            <w:pPr>
              <w:pStyle w:val="Luettelokappale"/>
              <w:numPr>
                <w:ilvl w:val="0"/>
                <w:numId w:val="9"/>
              </w:numPr>
              <w:spacing w:after="0" w:line="240" w:lineRule="auto"/>
              <w:textAlignment w:val="baseline"/>
              <w:rPr>
                <w:rFonts w:ascii="Tahoma" w:eastAsia="Times New Roman" w:hAnsi="Tahoma" w:cs="Tahoma"/>
                <w:sz w:val="20"/>
                <w:szCs w:val="20"/>
              </w:rPr>
            </w:pPr>
            <w:r w:rsidRPr="00321DBB">
              <w:rPr>
                <w:rFonts w:ascii="Tahoma" w:eastAsia="Times New Roman" w:hAnsi="Tahoma" w:cs="Tahoma"/>
                <w:sz w:val="20"/>
                <w:szCs w:val="20"/>
              </w:rPr>
              <w:t>kehittää työelämäyhteyksiä ja asiantuntijaverkostoja sekä viestintä- ja vuorovaikutustilanteita   </w:t>
            </w:r>
            <w:r w:rsidRPr="00321DBB">
              <w:rPr>
                <w:rFonts w:ascii="Tahoma" w:hAnsi="Tahoma" w:cs="Tahoma"/>
                <w:snapToGrid w:val="0"/>
                <w:sz w:val="20"/>
                <w:szCs w:val="20"/>
                <w:lang w:val="fi"/>
              </w:rPr>
              <w:t xml:space="preserve"> </w:t>
            </w:r>
          </w:p>
        </w:tc>
      </w:tr>
    </w:tbl>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4"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5"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6"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7"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9"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0"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1"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2"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3"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4"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11"/>
  </w:num>
  <w:num w:numId="5">
    <w:abstractNumId w:val="1"/>
  </w:num>
  <w:num w:numId="6">
    <w:abstractNumId w:val="2"/>
  </w:num>
  <w:num w:numId="7">
    <w:abstractNumId w:val="10"/>
  </w:num>
  <w:num w:numId="8">
    <w:abstractNumId w:val="8"/>
  </w:num>
  <w:num w:numId="9">
    <w:abstractNumId w:val="5"/>
  </w:num>
  <w:num w:numId="10">
    <w:abstractNumId w:val="12"/>
  </w:num>
  <w:num w:numId="11">
    <w:abstractNumId w:val="0"/>
  </w:num>
  <w:num w:numId="12">
    <w:abstractNumId w:val="9"/>
  </w:num>
  <w:num w:numId="13">
    <w:abstractNumId w:val="3"/>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3E4E"/>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5BD3"/>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4EBF"/>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31E"/>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48C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4.xml><?xml version="1.0" encoding="utf-8"?>
<ds:datastoreItem xmlns:ds="http://schemas.openxmlformats.org/officeDocument/2006/customXml" ds:itemID="{E00F2EFC-895E-4DFD-B3A3-A7DC1781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1237</Words>
  <Characters>10020</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5</cp:revision>
  <dcterms:created xsi:type="dcterms:W3CDTF">2022-10-27T09:59:00Z</dcterms:created>
  <dcterms:modified xsi:type="dcterms:W3CDTF">2022-12-02T10:12:00Z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