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339C" w14:textId="77777777" w:rsidR="00D07E67" w:rsidRPr="00D07E67" w:rsidRDefault="00D07E67" w:rsidP="00D07E67">
      <w:pPr>
        <w:rPr>
          <w:rFonts w:ascii="Tahoma" w:hAnsi="Tahoma" w:cs="Tahoma"/>
          <w:b/>
          <w:bCs/>
          <w:sz w:val="24"/>
          <w:szCs w:val="24"/>
        </w:rPr>
      </w:pPr>
      <w:r w:rsidRPr="00D07E67">
        <w:rPr>
          <w:rFonts w:ascii="Tahoma" w:hAnsi="Tahoma" w:cs="Tahoma"/>
          <w:b/>
          <w:bCs/>
          <w:sz w:val="24"/>
          <w:szCs w:val="24"/>
        </w:rPr>
        <w:t>Osaamistavoitteet</w:t>
      </w:r>
    </w:p>
    <w:p w14:paraId="6B779B49" w14:textId="2226DA46" w:rsidR="00D07E67" w:rsidRDefault="00D07E67" w:rsidP="00D07E67">
      <w:pPr>
        <w:rPr>
          <w:rFonts w:ascii="Tahoma" w:eastAsia="Tahoma" w:hAnsi="Tahoma" w:cs="Tahoma"/>
          <w:sz w:val="20"/>
          <w:szCs w:val="20"/>
        </w:rPr>
      </w:pPr>
      <w:r>
        <w:rPr>
          <w:rFonts w:ascii="Tahoma" w:eastAsia="Tahoma" w:hAnsi="Tahoma" w:cs="Tahoma"/>
          <w:sz w:val="20"/>
          <w:szCs w:val="20"/>
        </w:rPr>
        <w:t>Agrologin</w:t>
      </w:r>
      <w:r w:rsidRPr="513A8252">
        <w:rPr>
          <w:rFonts w:ascii="Tahoma" w:eastAsia="Tahoma" w:hAnsi="Tahoma" w:cs="Tahoma"/>
          <w:sz w:val="20"/>
          <w:szCs w:val="20"/>
        </w:rPr>
        <w:t xml:space="preserve"> koulutus on eurooppalaista ja suomalaista tasoa 6 (</w:t>
      </w:r>
      <w:hyperlink r:id="rId5">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p w14:paraId="47906D18" w14:textId="77777777" w:rsidR="00D07E67" w:rsidRDefault="00D07E67" w:rsidP="00D07E67">
      <w:pPr>
        <w:rPr>
          <w:rFonts w:ascii="Tahoma" w:eastAsia="Times New Roman" w:hAnsi="Tahoma" w:cs="Tahoma"/>
          <w:b/>
          <w:bCs/>
          <w:sz w:val="24"/>
          <w:szCs w:val="24"/>
        </w:rPr>
      </w:pPr>
    </w:p>
    <w:tbl>
      <w:tblPr>
        <w:tblW w:w="0" w:type="auto"/>
        <w:tblLayout w:type="fixed"/>
        <w:tblLook w:val="04A0" w:firstRow="1" w:lastRow="0" w:firstColumn="1" w:lastColumn="0" w:noHBand="0" w:noVBand="1"/>
      </w:tblPr>
      <w:tblGrid>
        <w:gridCol w:w="2565"/>
        <w:gridCol w:w="6795"/>
      </w:tblGrid>
      <w:tr w:rsidR="00D07E67" w:rsidRPr="005917FE" w14:paraId="48EA25EF" w14:textId="77777777" w:rsidTr="00025E5E">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12568B1" w14:textId="77777777" w:rsidR="00A62C92" w:rsidRPr="00EE65E7" w:rsidRDefault="00A62C92" w:rsidP="00025E5E">
            <w:pPr>
              <w:rPr>
                <w:rFonts w:ascii="Tahoma" w:hAnsi="Tahoma" w:cs="Tahoma"/>
                <w:b/>
                <w:bCs/>
                <w:snapToGrid w:val="0"/>
                <w:color w:val="FFFFFF" w:themeColor="background1"/>
                <w:sz w:val="20"/>
                <w:szCs w:val="20"/>
              </w:rPr>
            </w:pPr>
          </w:p>
          <w:p w14:paraId="668D3D06" w14:textId="5089CA5E" w:rsidR="00D07E67" w:rsidRPr="00EE65E7" w:rsidRDefault="00D07E67" w:rsidP="00025E5E">
            <w:pPr>
              <w:rPr>
                <w:rFonts w:ascii="Tahoma" w:hAnsi="Tahoma" w:cs="Tahoma"/>
                <w:snapToGrid w:val="0"/>
                <w:color w:val="FFFFFF" w:themeColor="background1"/>
                <w:sz w:val="20"/>
                <w:szCs w:val="20"/>
              </w:rPr>
            </w:pPr>
            <w:r w:rsidRPr="00EE65E7">
              <w:rPr>
                <w:rFonts w:ascii="Tahoma" w:hAnsi="Tahoma" w:cs="Tahoma"/>
                <w:b/>
                <w:bCs/>
                <w:snapToGrid w:val="0"/>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F5D7CCE" w14:textId="77777777" w:rsidR="00A62C92" w:rsidRPr="00EE65E7" w:rsidRDefault="00A62C92" w:rsidP="00025E5E">
            <w:pPr>
              <w:rPr>
                <w:rFonts w:ascii="Tahoma" w:hAnsi="Tahoma" w:cs="Tahoma"/>
                <w:b/>
                <w:bCs/>
                <w:snapToGrid w:val="0"/>
                <w:color w:val="FFFFFF" w:themeColor="background1"/>
                <w:sz w:val="20"/>
                <w:szCs w:val="20"/>
              </w:rPr>
            </w:pPr>
          </w:p>
          <w:p w14:paraId="536AF29C" w14:textId="67414E15" w:rsidR="00D07E67" w:rsidRPr="00EE65E7" w:rsidRDefault="00D07E67" w:rsidP="00025E5E">
            <w:pPr>
              <w:rPr>
                <w:rFonts w:ascii="Tahoma" w:hAnsi="Tahoma" w:cs="Tahoma"/>
                <w:snapToGrid w:val="0"/>
                <w:color w:val="FFFFFF" w:themeColor="background1"/>
                <w:sz w:val="20"/>
                <w:szCs w:val="20"/>
              </w:rPr>
            </w:pPr>
            <w:r w:rsidRPr="00EE65E7">
              <w:rPr>
                <w:rFonts w:ascii="Tahoma" w:hAnsi="Tahoma" w:cs="Tahoma"/>
                <w:b/>
                <w:bCs/>
                <w:snapToGrid w:val="0"/>
                <w:color w:val="FFFFFF" w:themeColor="background1"/>
                <w:sz w:val="20"/>
                <w:szCs w:val="20"/>
              </w:rPr>
              <w:t>Osaaminen tasolla 6</w:t>
            </w:r>
          </w:p>
        </w:tc>
      </w:tr>
      <w:tr w:rsidR="00D07E67" w:rsidRPr="00070FD5" w14:paraId="29E93E03" w14:textId="77777777" w:rsidTr="00025E5E">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BE24CE"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B2512" w14:textId="77777777" w:rsidR="00D07E67" w:rsidRDefault="00D07E67" w:rsidP="00025E5E">
            <w:pPr>
              <w:rPr>
                <w:rFonts w:ascii="Tahoma" w:hAnsi="Tahoma" w:cs="Tahoma"/>
                <w:snapToGrid w:val="0"/>
                <w:sz w:val="20"/>
                <w:szCs w:val="20"/>
              </w:rPr>
            </w:pPr>
          </w:p>
          <w:p w14:paraId="6E96CAA6" w14:textId="0C38CCF2"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D07E67" w:rsidRPr="00070FD5" w14:paraId="753AB603" w14:textId="77777777" w:rsidTr="00025E5E">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FCCEB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Työskentelytapa ja </w:t>
            </w:r>
            <w:r w:rsidRPr="00D07E67">
              <w:rPr>
                <w:rFonts w:ascii="Tahoma" w:hAnsi="Tahoma" w:cs="Tahoma"/>
                <w:snapToGrid w:val="0"/>
                <w:sz w:val="20"/>
                <w:szCs w:val="20"/>
              </w:rPr>
              <w:br/>
            </w:r>
            <w:r w:rsidRPr="00D07E67">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12F3FB" w14:textId="77777777" w:rsidR="00D07E67" w:rsidRDefault="00D07E67" w:rsidP="00D07E67">
            <w:pPr>
              <w:spacing w:line="240" w:lineRule="auto"/>
              <w:rPr>
                <w:rFonts w:ascii="Tahoma" w:hAnsi="Tahoma" w:cs="Tahoma"/>
                <w:snapToGrid w:val="0"/>
                <w:sz w:val="20"/>
                <w:szCs w:val="20"/>
              </w:rPr>
            </w:pPr>
          </w:p>
          <w:p w14:paraId="4493CD60" w14:textId="0AAB7E24" w:rsidR="00D07E67" w:rsidRP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D07E67" w:rsidRPr="00070FD5" w14:paraId="6555C0BA"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57EA2"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Vastuu, johtaminen, </w:t>
            </w:r>
            <w:r w:rsidRPr="00D07E67">
              <w:rPr>
                <w:rFonts w:ascii="Tahoma" w:hAnsi="Tahoma" w:cs="Tahoma"/>
                <w:snapToGrid w:val="0"/>
                <w:sz w:val="20"/>
                <w:szCs w:val="20"/>
              </w:rPr>
              <w:br/>
            </w:r>
            <w:r w:rsidRPr="00D07E67">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B7FC46"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D07E67" w:rsidRPr="00070FD5" w14:paraId="07DB267A" w14:textId="77777777" w:rsidTr="00025E5E">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CF7B5C"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BC3F75" w14:textId="77777777" w:rsidR="00D07E67" w:rsidRPr="00D07E67" w:rsidRDefault="00D07E67" w:rsidP="00025E5E">
            <w:pPr>
              <w:rPr>
                <w:rFonts w:ascii="Tahoma" w:hAnsi="Tahoma" w:cs="Tahoma"/>
                <w:snapToGrid w:val="0"/>
                <w:sz w:val="20"/>
                <w:szCs w:val="20"/>
              </w:rPr>
            </w:pPr>
            <w:r w:rsidRPr="00D07E67">
              <w:rPr>
                <w:rFonts w:ascii="Tahoma" w:hAnsi="Tahoma" w:cs="Tahoma"/>
                <w:snapToGrid w:val="0"/>
                <w:sz w:val="20"/>
                <w:szCs w:val="20"/>
              </w:rPr>
              <w:t>Vastaa oman osaamisensa arvioinnin ja kehittämisen lisäksi yksittäisten henkilöiden ja ryhmien kehityksestä.</w:t>
            </w:r>
          </w:p>
        </w:tc>
      </w:tr>
      <w:tr w:rsidR="00D07E67" w:rsidRPr="00070FD5" w14:paraId="445942DB" w14:textId="77777777" w:rsidTr="00025E5E">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5FC7EB" w14:textId="77777777" w:rsidR="00D07E67" w:rsidRPr="00D07E67" w:rsidRDefault="00D07E67" w:rsidP="00025E5E">
            <w:pPr>
              <w:rPr>
                <w:rFonts w:ascii="Tahoma" w:hAnsi="Tahoma" w:cs="Tahoma"/>
                <w:snapToGrid w:val="0"/>
                <w:sz w:val="20"/>
                <w:szCs w:val="20"/>
              </w:rPr>
            </w:pPr>
            <w:r w:rsidRPr="00D07E67">
              <w:rPr>
                <w:rFonts w:ascii="Tahoma" w:hAnsi="Tahoma" w:cs="Tahoma"/>
                <w:b/>
                <w:bCs/>
                <w:snapToGrid w:val="0"/>
                <w:sz w:val="20"/>
                <w:szCs w:val="20"/>
              </w:rPr>
              <w:t xml:space="preserve">Elinikäisen oppimisen </w:t>
            </w:r>
            <w:r w:rsidRPr="00D07E67">
              <w:rPr>
                <w:rFonts w:ascii="Tahoma" w:hAnsi="Tahoma" w:cs="Tahoma"/>
                <w:snapToGrid w:val="0"/>
                <w:sz w:val="20"/>
                <w:szCs w:val="20"/>
              </w:rPr>
              <w:br/>
            </w:r>
            <w:r w:rsidRPr="00D07E67">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DF454A" w14:textId="77777777" w:rsidR="00D07E67" w:rsidRDefault="00D07E67" w:rsidP="00D07E67">
            <w:pPr>
              <w:spacing w:line="240" w:lineRule="auto"/>
              <w:rPr>
                <w:rFonts w:ascii="Tahoma" w:hAnsi="Tahoma" w:cs="Tahoma"/>
                <w:snapToGrid w:val="0"/>
                <w:sz w:val="20"/>
                <w:szCs w:val="20"/>
              </w:rPr>
            </w:pPr>
          </w:p>
          <w:p w14:paraId="74F8EA13" w14:textId="77777777" w:rsidR="00D07E67" w:rsidRDefault="00D07E67" w:rsidP="00D07E67">
            <w:pPr>
              <w:spacing w:line="240" w:lineRule="auto"/>
              <w:rPr>
                <w:rFonts w:ascii="Tahoma" w:hAnsi="Tahoma" w:cs="Tahoma"/>
                <w:snapToGrid w:val="0"/>
                <w:sz w:val="20"/>
                <w:szCs w:val="20"/>
              </w:rPr>
            </w:pPr>
            <w:r w:rsidRPr="00D07E67">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p w14:paraId="5E858C03" w14:textId="6871E8B2" w:rsidR="00D07E67" w:rsidRPr="00D07E67" w:rsidRDefault="00D07E67" w:rsidP="00D07E67">
            <w:pPr>
              <w:spacing w:line="240" w:lineRule="auto"/>
              <w:rPr>
                <w:rFonts w:ascii="Tahoma" w:hAnsi="Tahoma" w:cs="Tahoma"/>
                <w:snapToGrid w:val="0"/>
                <w:sz w:val="20"/>
                <w:szCs w:val="20"/>
              </w:rPr>
            </w:pPr>
          </w:p>
        </w:tc>
      </w:tr>
    </w:tbl>
    <w:p w14:paraId="4B896DEA" w14:textId="75341E34" w:rsidR="00D07E67" w:rsidRDefault="00D07E67">
      <w:pPr>
        <w:rPr>
          <w:rFonts w:ascii="Tahoma" w:eastAsia="Times New Roman" w:hAnsi="Tahoma" w:cs="Tahoma"/>
          <w:b/>
          <w:bCs/>
          <w:sz w:val="24"/>
          <w:szCs w:val="24"/>
        </w:rPr>
      </w:pPr>
      <w:r>
        <w:rPr>
          <w:rFonts w:ascii="Tahoma" w:eastAsia="Times New Roman" w:hAnsi="Tahoma" w:cs="Tahoma"/>
          <w:b/>
          <w:bCs/>
          <w:sz w:val="24"/>
          <w:szCs w:val="24"/>
        </w:rPr>
        <w:br w:type="page"/>
      </w:r>
    </w:p>
    <w:p w14:paraId="099088DC" w14:textId="15006759" w:rsidR="00A92315" w:rsidRPr="00A92315" w:rsidRDefault="00A92315" w:rsidP="00A92315">
      <w:pPr>
        <w:spacing w:before="100" w:beforeAutospacing="1" w:after="100" w:afterAutospacing="1" w:line="240" w:lineRule="auto"/>
        <w:rPr>
          <w:rFonts w:ascii="Tahoma" w:eastAsia="Times New Roman" w:hAnsi="Tahoma" w:cs="Tahoma"/>
          <w:b/>
          <w:bCs/>
          <w:sz w:val="24"/>
          <w:szCs w:val="24"/>
        </w:rPr>
      </w:pPr>
      <w:r w:rsidRPr="00A92315">
        <w:rPr>
          <w:rFonts w:ascii="Tahoma" w:eastAsia="Times New Roman" w:hAnsi="Tahoma" w:cs="Tahoma"/>
          <w:b/>
          <w:bCs/>
          <w:sz w:val="24"/>
          <w:szCs w:val="24"/>
        </w:rPr>
        <w:lastRenderedPageBreak/>
        <w:t xml:space="preserve">Kompetenssit </w:t>
      </w:r>
    </w:p>
    <w:p w14:paraId="08DF25C2"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r w:rsidRPr="00A92315">
        <w:rPr>
          <w:rFonts w:ascii="Tahoma" w:eastAsia="Times New Roman" w:hAnsi="Tahoma" w:cs="Tahoma"/>
          <w:sz w:val="20"/>
          <w:szCs w:val="20"/>
        </w:rPr>
        <w:t xml:space="preserve">Agrologin osaamisprofiili muodostuu yleisistä ja tutkinto-ohjelmakohtaisista kompetensseista. Yleisten kompetenssien osalta Savonia-ammattikorkeakoulu noudattaa </w:t>
      </w:r>
      <w:proofErr w:type="spellStart"/>
      <w:r w:rsidRPr="00A92315">
        <w:rPr>
          <w:rFonts w:ascii="Tahoma" w:eastAsia="Times New Roman" w:hAnsi="Tahoma" w:cs="Tahoma"/>
          <w:sz w:val="20"/>
          <w:szCs w:val="20"/>
        </w:rPr>
        <w:t>Arenen</w:t>
      </w:r>
      <w:proofErr w:type="spellEnd"/>
      <w:r w:rsidRPr="00A92315">
        <w:rPr>
          <w:rFonts w:ascii="Tahoma" w:eastAsia="Times New Roman" w:hAnsi="Tahoma" w:cs="Tahoma"/>
          <w:sz w:val="20"/>
          <w:szCs w:val="20"/>
        </w:rPr>
        <w:t xml:space="preserve"> (Ammatti-korkeakoulujen rehtorineuvosto) suositusta. </w:t>
      </w:r>
    </w:p>
    <w:tbl>
      <w:tblPr>
        <w:tblW w:w="0" w:type="auto"/>
        <w:tblInd w:w="105" w:type="dxa"/>
        <w:tblLayout w:type="fixed"/>
        <w:tblLook w:val="01E0" w:firstRow="1" w:lastRow="1" w:firstColumn="1" w:lastColumn="1" w:noHBand="0" w:noVBand="0"/>
      </w:tblPr>
      <w:tblGrid>
        <w:gridCol w:w="2940"/>
        <w:gridCol w:w="6420"/>
      </w:tblGrid>
      <w:tr w:rsidR="00A92315" w:rsidRPr="00A92315" w14:paraId="36CB0E6C" w14:textId="77777777" w:rsidTr="00025E5E">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73B8420A" w14:textId="77777777" w:rsidR="00A92315" w:rsidRPr="00EE65E7" w:rsidRDefault="00A92315" w:rsidP="00025E5E">
            <w:pPr>
              <w:rPr>
                <w:rFonts w:ascii="Tahoma" w:hAnsi="Tahoma" w:cs="Tahoma"/>
                <w:snapToGrid w:val="0"/>
                <w:color w:val="FFFFFF" w:themeColor="background1"/>
                <w:sz w:val="20"/>
                <w:szCs w:val="20"/>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7ECA6D2B" w14:textId="77777777" w:rsidR="00A92315" w:rsidRPr="00EE65E7" w:rsidRDefault="00A92315" w:rsidP="00025E5E">
            <w:pPr>
              <w:rPr>
                <w:rFonts w:ascii="Tahoma" w:hAnsi="Tahoma" w:cs="Tahoma"/>
                <w:snapToGrid w:val="0"/>
                <w:color w:val="FFFFFF" w:themeColor="background1"/>
                <w:sz w:val="20"/>
                <w:szCs w:val="20"/>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rPr>
              <w:t xml:space="preserve">Osaamisen kuvaus </w:t>
            </w:r>
          </w:p>
        </w:tc>
      </w:tr>
      <w:tr w:rsidR="00A92315" w:rsidRPr="00A92315" w14:paraId="5F942252" w14:textId="77777777" w:rsidTr="00025E5E">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A92315" w:rsidRPr="00A92315" w14:paraId="21E18E2B" w14:textId="77777777" w:rsidTr="00025E5E">
              <w:trPr>
                <w:trHeight w:val="1361"/>
              </w:trPr>
              <w:tc>
                <w:tcPr>
                  <w:tcW w:w="2867" w:type="dxa"/>
                  <w:tcBorders>
                    <w:top w:val="nil"/>
                    <w:left w:val="nil"/>
                    <w:bottom w:val="nil"/>
                    <w:right w:val="nil"/>
                  </w:tcBorders>
                </w:tcPr>
                <w:p w14:paraId="26F50C31" w14:textId="77777777" w:rsidR="00A92315" w:rsidRPr="00A92315" w:rsidRDefault="00A92315" w:rsidP="00025E5E">
                  <w:pPr>
                    <w:rPr>
                      <w:rFonts w:ascii="Tahoma" w:hAnsi="Tahoma" w:cs="Tahoma"/>
                      <w:snapToGrid w:val="0"/>
                    </w:rPr>
                  </w:pPr>
                  <w:r w:rsidRPr="00A92315">
                    <w:rPr>
                      <w:rFonts w:ascii="Tahoma" w:hAnsi="Tahoma" w:cs="Tahoma"/>
                      <w:b/>
                      <w:bCs/>
                      <w:snapToGrid w:val="0"/>
                    </w:rPr>
                    <w:t>Oppimaan oppiminen</w:t>
                  </w:r>
                </w:p>
              </w:tc>
            </w:tr>
          </w:tbl>
          <w:p w14:paraId="6517BD58" w14:textId="77777777" w:rsidR="00A92315" w:rsidRPr="00A92315" w:rsidRDefault="00A92315" w:rsidP="00025E5E">
            <w:pPr>
              <w:rPr>
                <w:rFonts w:ascii="Tahoma" w:hAnsi="Tahoma" w:cs="Tahoma"/>
                <w:snapToGrid w:val="0"/>
                <w:sz w:val="20"/>
                <w:szCs w:val="20"/>
                <w:lang w:val="fi"/>
              </w:rPr>
            </w:pPr>
          </w:p>
          <w:p w14:paraId="5AC7BBDF"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3B7F5139"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1E5BD12C"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arvioi ja kehittää osaamistaan ja oppimistapojaan erilaisissa oppimisympäristöissä.</w:t>
            </w:r>
          </w:p>
          <w:p w14:paraId="43745A2E"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61B45E57" w14:textId="77777777" w:rsidR="00A92315" w:rsidRPr="00A92315" w:rsidRDefault="00A92315" w:rsidP="00A92315">
            <w:pPr>
              <w:numPr>
                <w:ilvl w:val="0"/>
                <w:numId w:val="2"/>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ottaa vastuuta myös ryhmän oppimisesta ja opitun jakamisesta. </w:t>
            </w:r>
          </w:p>
        </w:tc>
      </w:tr>
      <w:tr w:rsidR="00A92315" w:rsidRPr="00A92315" w14:paraId="2138EA00" w14:textId="77777777" w:rsidTr="00025E5E">
        <w:tc>
          <w:tcPr>
            <w:tcW w:w="2940" w:type="dxa"/>
            <w:tcBorders>
              <w:top w:val="single" w:sz="8" w:space="0" w:color="auto"/>
              <w:left w:val="single" w:sz="8" w:space="0" w:color="auto"/>
              <w:bottom w:val="single" w:sz="8" w:space="0" w:color="auto"/>
              <w:right w:val="single" w:sz="8" w:space="0" w:color="auto"/>
            </w:tcBorders>
          </w:tcPr>
          <w:p w14:paraId="50F58126" w14:textId="77777777" w:rsidR="00A92315" w:rsidRPr="00A92315" w:rsidRDefault="00A92315" w:rsidP="00025E5E">
            <w:pPr>
              <w:rPr>
                <w:rFonts w:ascii="Tahoma" w:hAnsi="Tahoma" w:cs="Tahoma"/>
                <w:snapToGrid w:val="0"/>
                <w:sz w:val="20"/>
                <w:szCs w:val="20"/>
              </w:rPr>
            </w:pPr>
            <w:r w:rsidRPr="00A92315">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75687514"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omaa monipuoliset työelämävalmiudet ja osaa toimia alansa työyhteisöissä</w:t>
            </w:r>
          </w:p>
          <w:p w14:paraId="43607E25"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rakentavasti työyhteisössä ja edistää omaa ja työyhteisön hyvinvointia.</w:t>
            </w:r>
          </w:p>
          <w:p w14:paraId="67D43146"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toimia ammatillisesti työelämän viestintä- ja vuorovaikutustilanteissa.</w:t>
            </w:r>
          </w:p>
          <w:p w14:paraId="5273307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hyödyntää teknologian ja digitalisaation tuomia mahdollisuuksia omassa työssään.</w:t>
            </w:r>
          </w:p>
          <w:p w14:paraId="2817C7A9"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muuttuvan työelämän kompleksisuuden ja omaa </w:t>
            </w:r>
            <w:proofErr w:type="spellStart"/>
            <w:r w:rsidRPr="00A92315">
              <w:rPr>
                <w:rFonts w:ascii="Tahoma" w:hAnsi="Tahoma" w:cs="Tahoma"/>
                <w:snapToGrid w:val="0"/>
                <w:sz w:val="20"/>
                <w:szCs w:val="20"/>
                <w:lang w:val="fi"/>
              </w:rPr>
              <w:t>resilienssiä</w:t>
            </w:r>
            <w:proofErr w:type="spellEnd"/>
            <w:r w:rsidRPr="00A92315">
              <w:rPr>
                <w:rFonts w:ascii="Tahoma" w:hAnsi="Tahoma" w:cs="Tahoma"/>
                <w:snapToGrid w:val="0"/>
                <w:sz w:val="20"/>
                <w:szCs w:val="20"/>
                <w:lang w:val="fi"/>
              </w:rPr>
              <w:t xml:space="preserve"> muuttuvissa työelämän tilanteissa.</w:t>
            </w:r>
          </w:p>
          <w:p w14:paraId="3353643B" w14:textId="77777777" w:rsidR="00A92315" w:rsidRPr="00A92315" w:rsidRDefault="00A92315" w:rsidP="00A92315">
            <w:pPr>
              <w:numPr>
                <w:ilvl w:val="0"/>
                <w:numId w:val="6"/>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omaa valmiudet yrittäjämäiseen toimintatapaan.</w:t>
            </w:r>
          </w:p>
        </w:tc>
      </w:tr>
      <w:tr w:rsidR="00A92315" w:rsidRPr="00A92315" w14:paraId="1DE5B73E" w14:textId="77777777" w:rsidTr="00025E5E">
        <w:trPr>
          <w:trHeight w:val="1785"/>
        </w:trPr>
        <w:tc>
          <w:tcPr>
            <w:tcW w:w="2940" w:type="dxa"/>
            <w:tcBorders>
              <w:top w:val="single" w:sz="8" w:space="0" w:color="auto"/>
              <w:left w:val="single" w:sz="8" w:space="0" w:color="auto"/>
              <w:bottom w:val="single" w:sz="8" w:space="0" w:color="auto"/>
              <w:right w:val="single" w:sz="8" w:space="0" w:color="auto"/>
            </w:tcBorders>
          </w:tcPr>
          <w:p w14:paraId="1F75CF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0599CEA3"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toimii ammattialan eettisten periaatteiden ja arvojen mukaisesti huomioiden tasa-arvon ja yhdenvertaisuuden periaatteet.</w:t>
            </w:r>
          </w:p>
          <w:p w14:paraId="7898FC2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vastaamaan omasta toiminnastaan ja sen seurauksista ja reflektoimaan niitä alansa ammattieettisten periaatteiden ja arvojen mukaisesti.</w:t>
            </w:r>
          </w:p>
          <w:p w14:paraId="200E8C89"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ottaa toiset huomioon ja edistää tasa‐arvoisuutta ja yhdenvertaisuutta.</w:t>
            </w:r>
          </w:p>
          <w:p w14:paraId="69321CF0"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lastRenderedPageBreak/>
              <w:t>huomioi toiminnassaan moninaisuuden ja saavutettavuuden toteutumista.</w:t>
            </w:r>
          </w:p>
          <w:p w14:paraId="428D13BB"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ymmärtää hyvän tieteellisen käytännön periaatteet ja toimii niiden mukaisesti.</w:t>
            </w:r>
          </w:p>
          <w:p w14:paraId="393AC008" w14:textId="77777777" w:rsidR="00A92315" w:rsidRPr="00A92315" w:rsidRDefault="00A92315" w:rsidP="00A92315">
            <w:pPr>
              <w:numPr>
                <w:ilvl w:val="0"/>
                <w:numId w:val="5"/>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kykenee eettisiin arvoihin perustuvaan yhteiskunnalliseen vaikuttamiseen.</w:t>
            </w:r>
          </w:p>
        </w:tc>
      </w:tr>
      <w:tr w:rsidR="00A92315" w:rsidRPr="00A92315" w14:paraId="4BA3C3AE" w14:textId="77777777" w:rsidTr="00025E5E">
        <w:trPr>
          <w:trHeight w:val="345"/>
        </w:trPr>
        <w:tc>
          <w:tcPr>
            <w:tcW w:w="2940" w:type="dxa"/>
            <w:tcBorders>
              <w:top w:val="single" w:sz="8" w:space="0" w:color="auto"/>
              <w:left w:val="single" w:sz="8" w:space="0" w:color="auto"/>
              <w:bottom w:val="single" w:sz="8" w:space="0" w:color="auto"/>
              <w:right w:val="single" w:sz="8" w:space="0" w:color="auto"/>
            </w:tcBorders>
          </w:tcPr>
          <w:p w14:paraId="10B3922E" w14:textId="77777777" w:rsidR="00A92315" w:rsidRPr="00A92315" w:rsidRDefault="00A92315" w:rsidP="00025E5E">
            <w:pPr>
              <w:rPr>
                <w:rFonts w:ascii="Tahoma" w:hAnsi="Tahoma" w:cs="Tahoma"/>
                <w:b/>
                <w:bCs/>
                <w:snapToGrid w:val="0"/>
                <w:sz w:val="20"/>
                <w:szCs w:val="20"/>
                <w:lang w:val="fi"/>
              </w:rPr>
            </w:pPr>
            <w:r w:rsidRPr="00A92315">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53FB9B38"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767E8922"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käyttää omaan alaansa liittyvää tietoa kestävien ratkaisujen ja toimintamallien etsimiseen, käyttöönottamiseen ja vakiinnuttamiseen.</w:t>
            </w:r>
          </w:p>
          <w:p w14:paraId="6F5FDCBA" w14:textId="77777777" w:rsidR="00A92315" w:rsidRPr="00A92315" w:rsidRDefault="00A92315" w:rsidP="00A92315">
            <w:pPr>
              <w:numPr>
                <w:ilvl w:val="0"/>
                <w:numId w:val="4"/>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ymmärtää kestävyyshaasteita, niiden keskinäisiä riippuvuuksia sekä asioiden ja ongelmien monia näkökulmia. </w:t>
            </w:r>
          </w:p>
        </w:tc>
      </w:tr>
      <w:tr w:rsidR="00A92315" w:rsidRPr="00A92315" w14:paraId="03BCAB0F" w14:textId="77777777" w:rsidTr="00025E5E">
        <w:tc>
          <w:tcPr>
            <w:tcW w:w="2940" w:type="dxa"/>
            <w:tcBorders>
              <w:top w:val="single" w:sz="8" w:space="0" w:color="auto"/>
              <w:left w:val="single" w:sz="8" w:space="0" w:color="auto"/>
              <w:bottom w:val="single" w:sz="8" w:space="0" w:color="auto"/>
              <w:right w:val="single" w:sz="8" w:space="0" w:color="auto"/>
            </w:tcBorders>
          </w:tcPr>
          <w:p w14:paraId="6496CAA4" w14:textId="77777777" w:rsidR="00A92315" w:rsidRPr="00A92315" w:rsidRDefault="00A92315" w:rsidP="00025E5E">
            <w:pPr>
              <w:rPr>
                <w:rFonts w:ascii="Tahoma" w:hAnsi="Tahoma" w:cs="Tahoma"/>
                <w:snapToGrid w:val="0"/>
                <w:sz w:val="20"/>
                <w:szCs w:val="20"/>
              </w:rPr>
            </w:pPr>
            <w:proofErr w:type="spellStart"/>
            <w:r w:rsidRPr="00A92315">
              <w:rPr>
                <w:rFonts w:ascii="Tahoma" w:hAnsi="Tahoma" w:cs="Tahoma"/>
                <w:b/>
                <w:bCs/>
                <w:snapToGrid w:val="0"/>
                <w:sz w:val="20"/>
                <w:szCs w:val="20"/>
                <w:lang w:val="en-GB"/>
              </w:rPr>
              <w:t>Kansainvälisyys</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ja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monikulttuurisuus</w:t>
            </w:r>
            <w:proofErr w:type="spellEnd"/>
          </w:p>
          <w:p w14:paraId="07E8ED04" w14:textId="77777777" w:rsidR="00A92315" w:rsidRPr="00A92315" w:rsidRDefault="00A92315" w:rsidP="00025E5E">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0DD97A7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toimia monikulttuurisissa ja kansainvälisissä toimintaympäristöissä ja verkostoissa.</w:t>
            </w:r>
          </w:p>
          <w:p w14:paraId="6B3BC9B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tuntee oman kulttuuritaustansa vaikutuksia toimintaansa ja osaa kehittää monikulttuurisuutta huomioivia toimintatapoja työyhteisössään.</w:t>
            </w:r>
          </w:p>
          <w:p w14:paraId="6FB5A0C8"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seurata ja hyödyntää oman alansa kansainvälistä kehitystä työssään.</w:t>
            </w:r>
          </w:p>
          <w:p w14:paraId="25E600E2" w14:textId="77777777" w:rsidR="00A92315" w:rsidRPr="00A92315" w:rsidRDefault="00A92315" w:rsidP="00A92315">
            <w:pPr>
              <w:numPr>
                <w:ilvl w:val="0"/>
                <w:numId w:val="3"/>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 xml:space="preserve">kykenee kansainväliseen viestintään työtehtävissään. </w:t>
            </w:r>
          </w:p>
        </w:tc>
      </w:tr>
      <w:tr w:rsidR="00A92315" w:rsidRPr="00A92315" w14:paraId="12139BFA" w14:textId="77777777" w:rsidTr="00025E5E">
        <w:tc>
          <w:tcPr>
            <w:tcW w:w="2940" w:type="dxa"/>
            <w:tcBorders>
              <w:top w:val="single" w:sz="8" w:space="0" w:color="auto"/>
              <w:left w:val="single" w:sz="8" w:space="0" w:color="auto"/>
              <w:bottom w:val="single" w:sz="8" w:space="0" w:color="auto"/>
              <w:right w:val="single" w:sz="8" w:space="0" w:color="auto"/>
            </w:tcBorders>
          </w:tcPr>
          <w:p w14:paraId="77FB0077" w14:textId="77777777" w:rsidR="00A92315" w:rsidRPr="00A92315" w:rsidRDefault="00A92315" w:rsidP="00025E5E">
            <w:pPr>
              <w:rPr>
                <w:rFonts w:ascii="Tahoma" w:hAnsi="Tahoma" w:cs="Tahoma"/>
                <w:b/>
                <w:bCs/>
                <w:snapToGrid w:val="0"/>
                <w:sz w:val="20"/>
                <w:szCs w:val="20"/>
                <w:lang w:val="en-GB"/>
              </w:rPr>
            </w:pPr>
            <w:proofErr w:type="spellStart"/>
            <w:r w:rsidRPr="00A92315">
              <w:rPr>
                <w:rFonts w:ascii="Tahoma" w:hAnsi="Tahoma" w:cs="Tahoma"/>
                <w:b/>
                <w:bCs/>
                <w:snapToGrid w:val="0"/>
                <w:sz w:val="20"/>
                <w:szCs w:val="20"/>
                <w:lang w:val="en-GB"/>
              </w:rPr>
              <w:t>Ennakoiva</w:t>
            </w:r>
            <w:proofErr w:type="spellEnd"/>
            <w:r w:rsidRPr="00A92315">
              <w:rPr>
                <w:rFonts w:ascii="Tahoma" w:hAnsi="Tahoma" w:cs="Tahoma"/>
                <w:b/>
                <w:bCs/>
                <w:snapToGrid w:val="0"/>
                <w:sz w:val="20"/>
                <w:szCs w:val="20"/>
                <w:lang w:val="en-GB"/>
              </w:rPr>
              <w:t xml:space="preserve"> </w:t>
            </w:r>
            <w:proofErr w:type="spellStart"/>
            <w:r w:rsidRPr="00A92315">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734DC0E6" w14:textId="77777777" w:rsidR="00A92315" w:rsidRPr="00A92315" w:rsidRDefault="00A92315" w:rsidP="00025E5E">
            <w:pPr>
              <w:rPr>
                <w:rFonts w:ascii="Tahoma" w:hAnsi="Tahoma" w:cs="Tahoma"/>
                <w:snapToGrid w:val="0"/>
                <w:sz w:val="20"/>
                <w:szCs w:val="20"/>
                <w:lang w:val="fi"/>
              </w:rPr>
            </w:pPr>
            <w:r w:rsidRPr="00A92315">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08EE3883"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ratkaisee ongelmatilanteita luovasti ja uudistaa toimintatapoja yhdessä muiden kanssa.</w:t>
            </w:r>
          </w:p>
          <w:p w14:paraId="35FA9DEE"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työskennellä projekteissa yhteistyössä eri alojen toimijoiden kanssa.</w:t>
            </w:r>
          </w:p>
          <w:p w14:paraId="6A8990F8"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soveltaa kehittämisessä alan olemassa olevaa tietoa ja hyödyntää tutkimus- ja kehittämismenetelmiä.</w:t>
            </w:r>
          </w:p>
          <w:p w14:paraId="3A8B6E4F" w14:textId="77777777" w:rsidR="00A92315" w:rsidRPr="00A92315" w:rsidRDefault="00A92315" w:rsidP="00A92315">
            <w:pPr>
              <w:numPr>
                <w:ilvl w:val="0"/>
                <w:numId w:val="1"/>
              </w:numPr>
              <w:spacing w:before="240" w:after="240" w:line="260" w:lineRule="exact"/>
              <w:rPr>
                <w:rFonts w:ascii="Tahoma" w:hAnsi="Tahoma" w:cs="Tahoma"/>
                <w:snapToGrid w:val="0"/>
                <w:sz w:val="20"/>
                <w:szCs w:val="20"/>
                <w:lang w:val="fi"/>
              </w:rPr>
            </w:pPr>
            <w:r w:rsidRPr="00A92315">
              <w:rPr>
                <w:rFonts w:ascii="Tahoma" w:hAnsi="Tahoma" w:cs="Tahoma"/>
                <w:snapToGrid w:val="0"/>
                <w:sz w:val="20"/>
                <w:szCs w:val="20"/>
                <w:lang w:val="fi"/>
              </w:rPr>
              <w:t>osaa etsiä asiakaslähtöisiä, kestäviä ja taloudellisesti kannattavia ratkaisuja oman alansa tulevaisuutta ennakoiden.</w:t>
            </w:r>
          </w:p>
        </w:tc>
      </w:tr>
    </w:tbl>
    <w:p w14:paraId="1553800B" w14:textId="77777777" w:rsidR="00A92315" w:rsidRPr="00A92315" w:rsidRDefault="00A92315" w:rsidP="00A92315">
      <w:pPr>
        <w:spacing w:before="100" w:beforeAutospacing="1" w:after="100" w:afterAutospacing="1" w:line="240" w:lineRule="auto"/>
        <w:rPr>
          <w:rFonts w:ascii="Tahoma" w:eastAsia="Times New Roman" w:hAnsi="Tahoma" w:cs="Tahoma"/>
          <w:sz w:val="20"/>
          <w:szCs w:val="20"/>
        </w:rPr>
      </w:pPr>
    </w:p>
    <w:p w14:paraId="3F63DEA4" w14:textId="77777777" w:rsidR="00A92315" w:rsidRPr="00A92315" w:rsidRDefault="00A92315" w:rsidP="00A92315">
      <w:pPr>
        <w:rPr>
          <w:rFonts w:ascii="Tahoma" w:hAnsi="Tahoma" w:cs="Tahoma"/>
          <w:snapToGrid w:val="0"/>
          <w:sz w:val="20"/>
          <w:szCs w:val="20"/>
        </w:rPr>
      </w:pPr>
    </w:p>
    <w:tbl>
      <w:tblPr>
        <w:tblW w:w="9360" w:type="dxa"/>
        <w:tblInd w:w="105" w:type="dxa"/>
        <w:tblLayout w:type="fixed"/>
        <w:tblLook w:val="01E0" w:firstRow="1" w:lastRow="1" w:firstColumn="1" w:lastColumn="1" w:noHBand="0" w:noVBand="0"/>
      </w:tblPr>
      <w:tblGrid>
        <w:gridCol w:w="2929"/>
        <w:gridCol w:w="6431"/>
      </w:tblGrid>
      <w:tr w:rsidR="00A92315" w:rsidRPr="00A92315" w14:paraId="6353A11A" w14:textId="77777777" w:rsidTr="00A62C92">
        <w:tc>
          <w:tcPr>
            <w:tcW w:w="2929" w:type="dxa"/>
            <w:tcBorders>
              <w:top w:val="single" w:sz="8" w:space="0" w:color="auto"/>
              <w:left w:val="single" w:sz="8" w:space="0" w:color="auto"/>
              <w:bottom w:val="single" w:sz="8" w:space="0" w:color="auto"/>
              <w:right w:val="single" w:sz="8" w:space="0" w:color="auto"/>
            </w:tcBorders>
            <w:shd w:val="clear" w:color="auto" w:fill="31A3B5"/>
          </w:tcPr>
          <w:p w14:paraId="75611FB4" w14:textId="54B42A8A" w:rsidR="00A92315" w:rsidRPr="00EE65E7" w:rsidRDefault="00A92315" w:rsidP="00025E5E">
            <w:pPr>
              <w:rPr>
                <w:rFonts w:ascii="Tahoma" w:hAnsi="Tahoma" w:cs="Tahoma"/>
                <w:b/>
                <w:bCs/>
                <w:snapToGrid w:val="0"/>
                <w:color w:val="FFFFFF" w:themeColor="background1"/>
                <w:sz w:val="20"/>
                <w:szCs w:val="20"/>
                <w:lang w:val="fi"/>
              </w:rPr>
            </w:pPr>
            <w:r w:rsidRPr="00EE65E7">
              <w:rPr>
                <w:rFonts w:ascii="Tahoma" w:hAnsi="Tahoma" w:cs="Tahoma"/>
                <w:snapToGrid w:val="0"/>
                <w:color w:val="FFFFFF" w:themeColor="background1"/>
                <w:sz w:val="20"/>
                <w:szCs w:val="20"/>
              </w:rPr>
              <w:lastRenderedPageBreak/>
              <w:br/>
            </w:r>
            <w:r w:rsidRPr="00EE65E7">
              <w:rPr>
                <w:rFonts w:ascii="Tahoma" w:hAnsi="Tahoma" w:cs="Tahoma"/>
                <w:b/>
                <w:bCs/>
                <w:snapToGrid w:val="0"/>
                <w:color w:val="FFFFFF" w:themeColor="background1"/>
                <w:sz w:val="20"/>
                <w:szCs w:val="20"/>
                <w:lang w:val="fi"/>
              </w:rPr>
              <w:t>Tutkinto-ohjelmakohtaiset kompetenssit / Agrologin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2A0A2C56" w14:textId="77777777" w:rsidR="00A92315" w:rsidRPr="00EE65E7" w:rsidRDefault="00A92315" w:rsidP="00025E5E">
            <w:pPr>
              <w:rPr>
                <w:rFonts w:ascii="Tahoma" w:hAnsi="Tahoma" w:cs="Tahoma"/>
                <w:b/>
                <w:bCs/>
                <w:snapToGrid w:val="0"/>
                <w:color w:val="FFFFFF" w:themeColor="background1"/>
                <w:sz w:val="20"/>
                <w:szCs w:val="20"/>
                <w:lang w:val="fi"/>
              </w:rPr>
            </w:pPr>
            <w:r w:rsidRPr="00EE65E7">
              <w:rPr>
                <w:rFonts w:ascii="Tahoma" w:hAnsi="Tahoma" w:cs="Tahoma"/>
                <w:snapToGrid w:val="0"/>
                <w:color w:val="FFFFFF" w:themeColor="background1"/>
                <w:sz w:val="20"/>
                <w:szCs w:val="20"/>
              </w:rPr>
              <w:br/>
            </w:r>
            <w:r w:rsidRPr="00EE65E7">
              <w:rPr>
                <w:rFonts w:ascii="Tahoma" w:hAnsi="Tahoma" w:cs="Tahoma"/>
                <w:b/>
                <w:bCs/>
                <w:snapToGrid w:val="0"/>
                <w:color w:val="FFFFFF" w:themeColor="background1"/>
                <w:sz w:val="20"/>
                <w:szCs w:val="20"/>
                <w:lang w:val="fi"/>
              </w:rPr>
              <w:t>Osaamisalueen kuvaus</w:t>
            </w:r>
          </w:p>
        </w:tc>
      </w:tr>
      <w:tr w:rsidR="00A92315" w:rsidRPr="00A92315" w14:paraId="69D3AFCF" w14:textId="77777777" w:rsidTr="00025E5E">
        <w:tc>
          <w:tcPr>
            <w:tcW w:w="2929" w:type="dxa"/>
            <w:tcBorders>
              <w:top w:val="single" w:sz="8" w:space="0" w:color="auto"/>
              <w:left w:val="single" w:sz="8" w:space="0" w:color="auto"/>
              <w:bottom w:val="single" w:sz="8" w:space="0" w:color="auto"/>
              <w:right w:val="single" w:sz="8" w:space="0" w:color="auto"/>
            </w:tcBorders>
          </w:tcPr>
          <w:p w14:paraId="1A5855B0" w14:textId="77777777" w:rsidR="00A92315" w:rsidRPr="00A92315" w:rsidRDefault="00A92315" w:rsidP="00025E5E">
            <w:pPr>
              <w:spacing w:after="0"/>
              <w:ind w:left="12"/>
              <w:rPr>
                <w:rFonts w:ascii="Tahoma" w:hAnsi="Tahoma" w:cs="Tahoma"/>
                <w:b/>
                <w:sz w:val="20"/>
                <w:szCs w:val="20"/>
              </w:rPr>
            </w:pPr>
          </w:p>
          <w:p w14:paraId="49DC025A"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Maatilayrittäminen</w:t>
            </w:r>
          </w:p>
          <w:p w14:paraId="18530021"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(Farm </w:t>
            </w:r>
            <w:proofErr w:type="spellStart"/>
            <w:r w:rsidRPr="00A92315">
              <w:rPr>
                <w:rFonts w:ascii="Tahoma" w:hAnsi="Tahoma" w:cs="Tahoma"/>
                <w:i/>
                <w:sz w:val="20"/>
                <w:szCs w:val="20"/>
              </w:rPr>
              <w:t>entrepreneurship</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4338A5C4" w14:textId="77777777" w:rsidR="00A92315" w:rsidRPr="00A92315" w:rsidRDefault="00A92315" w:rsidP="00A92315">
            <w:pPr>
              <w:pStyle w:val="Default"/>
              <w:numPr>
                <w:ilvl w:val="0"/>
                <w:numId w:val="7"/>
              </w:numPr>
              <w:spacing w:before="240"/>
              <w:rPr>
                <w:rFonts w:ascii="Tahoma" w:hAnsi="Tahoma" w:cs="Tahoma"/>
                <w:sz w:val="20"/>
                <w:szCs w:val="20"/>
              </w:rPr>
            </w:pPr>
            <w:r w:rsidRPr="00A92315">
              <w:rPr>
                <w:rFonts w:ascii="Tahoma" w:hAnsi="Tahoma" w:cs="Tahoma"/>
                <w:sz w:val="20"/>
                <w:szCs w:val="20"/>
              </w:rPr>
              <w:t>osaa suunnitella ja järjestää maatilakokonaisuuteen kuuluvat toiminnot kestävästi ja vastuullisesti</w:t>
            </w:r>
          </w:p>
          <w:p w14:paraId="6F3C1762" w14:textId="77777777" w:rsidR="00A92315" w:rsidRPr="00A92315" w:rsidRDefault="00A92315" w:rsidP="00A92315">
            <w:pPr>
              <w:pStyle w:val="Default"/>
              <w:numPr>
                <w:ilvl w:val="0"/>
                <w:numId w:val="7"/>
              </w:numPr>
              <w:rPr>
                <w:rFonts w:ascii="Tahoma" w:hAnsi="Tahoma" w:cs="Tahoma"/>
                <w:sz w:val="20"/>
                <w:szCs w:val="20"/>
              </w:rPr>
            </w:pPr>
            <w:r w:rsidRPr="00A92315">
              <w:rPr>
                <w:rFonts w:ascii="Tahoma" w:hAnsi="Tahoma" w:cs="Tahoma"/>
                <w:sz w:val="20"/>
                <w:szCs w:val="20"/>
              </w:rPr>
              <w:t>osaa johtaa maatilayrityksen tuotantoprosesseja</w:t>
            </w:r>
          </w:p>
          <w:p w14:paraId="4B206449" w14:textId="77777777" w:rsidR="00A92315" w:rsidRDefault="00A92315" w:rsidP="00A92315">
            <w:pPr>
              <w:pStyle w:val="Default"/>
              <w:numPr>
                <w:ilvl w:val="0"/>
                <w:numId w:val="7"/>
              </w:numPr>
              <w:rPr>
                <w:rFonts w:ascii="Tahoma" w:hAnsi="Tahoma" w:cs="Tahoma"/>
                <w:sz w:val="20"/>
                <w:szCs w:val="20"/>
              </w:rPr>
            </w:pPr>
            <w:r w:rsidRPr="00A92315">
              <w:rPr>
                <w:rFonts w:ascii="Tahoma" w:hAnsi="Tahoma" w:cs="Tahoma"/>
                <w:sz w:val="20"/>
                <w:szCs w:val="20"/>
              </w:rPr>
              <w:t>osaa suunnitella maatilataloudessa tarvittavan työn, teknologian ja energian käytön niin, että se on tehokasta ja turvallista</w:t>
            </w:r>
          </w:p>
          <w:p w14:paraId="6F59F9DE" w14:textId="1ED0CB9F" w:rsidR="00A92315" w:rsidRPr="00A92315" w:rsidRDefault="00A92315" w:rsidP="00A92315">
            <w:pPr>
              <w:pStyle w:val="Default"/>
              <w:ind w:left="720"/>
              <w:rPr>
                <w:rFonts w:ascii="Tahoma" w:hAnsi="Tahoma" w:cs="Tahoma"/>
                <w:sz w:val="20"/>
                <w:szCs w:val="20"/>
              </w:rPr>
            </w:pPr>
          </w:p>
        </w:tc>
      </w:tr>
      <w:tr w:rsidR="00A92315" w:rsidRPr="00A92315" w14:paraId="2023CDAE" w14:textId="77777777" w:rsidTr="00025E5E">
        <w:tc>
          <w:tcPr>
            <w:tcW w:w="2929" w:type="dxa"/>
            <w:tcBorders>
              <w:top w:val="single" w:sz="8" w:space="0" w:color="auto"/>
              <w:left w:val="single" w:sz="8" w:space="0" w:color="auto"/>
              <w:bottom w:val="single" w:sz="8" w:space="0" w:color="auto"/>
              <w:right w:val="single" w:sz="8" w:space="0" w:color="auto"/>
            </w:tcBorders>
          </w:tcPr>
          <w:p w14:paraId="0E86BBFB" w14:textId="77777777" w:rsidR="00A92315" w:rsidRDefault="00A92315" w:rsidP="00025E5E">
            <w:pPr>
              <w:spacing w:after="0"/>
              <w:ind w:left="12"/>
              <w:rPr>
                <w:rFonts w:ascii="Tahoma" w:hAnsi="Tahoma" w:cs="Tahoma"/>
                <w:b/>
                <w:sz w:val="20"/>
                <w:szCs w:val="20"/>
              </w:rPr>
            </w:pPr>
          </w:p>
          <w:p w14:paraId="790C8345" w14:textId="407974E8"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Maaseutu toimintaympäristönä</w:t>
            </w:r>
          </w:p>
          <w:p w14:paraId="7014DD8F"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Rural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areas</w:t>
            </w:r>
            <w:proofErr w:type="spellEnd"/>
            <w:r w:rsidRPr="00A92315">
              <w:rPr>
                <w:rFonts w:ascii="Tahoma" w:hAnsi="Tahoma" w:cs="Tahoma"/>
                <w:i/>
                <w:sz w:val="20"/>
                <w:szCs w:val="20"/>
              </w:rPr>
              <w:t xml:space="preserve"> as </w:t>
            </w:r>
            <w:proofErr w:type="spellStart"/>
            <w:r w:rsidRPr="00A92315">
              <w:rPr>
                <w:rFonts w:ascii="Tahoma" w:hAnsi="Tahoma" w:cs="Tahoma"/>
                <w:i/>
                <w:sz w:val="20"/>
                <w:szCs w:val="20"/>
              </w:rPr>
              <w:t>operational</w:t>
            </w:r>
            <w:proofErr w:type="spellEnd"/>
            <w:r w:rsidRPr="00A92315">
              <w:rPr>
                <w:rFonts w:ascii="Tahoma" w:hAnsi="Tahoma" w:cs="Tahoma"/>
                <w:i/>
                <w:sz w:val="20"/>
                <w:szCs w:val="20"/>
              </w:rPr>
              <w:t xml:space="preserve"> </w:t>
            </w:r>
            <w:proofErr w:type="spellStart"/>
            <w:r w:rsidRPr="00A92315">
              <w:rPr>
                <w:rFonts w:ascii="Tahoma" w:hAnsi="Tahoma" w:cs="Tahoma"/>
                <w:i/>
                <w:sz w:val="20"/>
                <w:szCs w:val="20"/>
              </w:rPr>
              <w:t>environment</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6B849B93"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osaa toimia asiantuntijana ja vaikuttajana maaseudun toimijaverkostoissa</w:t>
            </w:r>
          </w:p>
          <w:p w14:paraId="7AD599EC"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analysoida kansallisen ja kansainvälisen maaseutupolitiikan vaikutuksia alueiden, maaseudun ja maatalouden toimintaedellytyksiin ja kehittymiseen</w:t>
            </w:r>
          </w:p>
          <w:p w14:paraId="59515481" w14:textId="34B40FF9" w:rsidR="00A92315" w:rsidRPr="00A92315" w:rsidRDefault="00A92315" w:rsidP="00A92315">
            <w:pPr>
              <w:pStyle w:val="Default"/>
              <w:ind w:left="720"/>
              <w:rPr>
                <w:rFonts w:ascii="Tahoma" w:hAnsi="Tahoma" w:cs="Tahoma"/>
                <w:sz w:val="20"/>
                <w:szCs w:val="20"/>
              </w:rPr>
            </w:pPr>
          </w:p>
        </w:tc>
      </w:tr>
      <w:tr w:rsidR="00A92315" w:rsidRPr="00A92315" w14:paraId="3D0E8E7D" w14:textId="77777777" w:rsidTr="00025E5E">
        <w:tc>
          <w:tcPr>
            <w:tcW w:w="2929" w:type="dxa"/>
            <w:tcBorders>
              <w:top w:val="single" w:sz="8" w:space="0" w:color="auto"/>
              <w:left w:val="single" w:sz="8" w:space="0" w:color="auto"/>
              <w:bottom w:val="single" w:sz="8" w:space="0" w:color="auto"/>
              <w:right w:val="single" w:sz="8" w:space="0" w:color="auto"/>
            </w:tcBorders>
          </w:tcPr>
          <w:p w14:paraId="18964682" w14:textId="77777777" w:rsidR="00A92315" w:rsidRPr="00A92315" w:rsidRDefault="00A92315" w:rsidP="00025E5E">
            <w:pPr>
              <w:spacing w:after="0"/>
              <w:ind w:left="12"/>
              <w:rPr>
                <w:rFonts w:ascii="Tahoma" w:hAnsi="Tahoma" w:cs="Tahoma"/>
                <w:b/>
                <w:sz w:val="20"/>
                <w:szCs w:val="20"/>
              </w:rPr>
            </w:pPr>
          </w:p>
          <w:p w14:paraId="581BA8D7" w14:textId="77777777" w:rsidR="00A92315" w:rsidRPr="00A92315" w:rsidRDefault="00A92315" w:rsidP="00025E5E">
            <w:pPr>
              <w:spacing w:after="0"/>
              <w:ind w:left="12"/>
              <w:rPr>
                <w:rFonts w:ascii="Tahoma" w:hAnsi="Tahoma" w:cs="Tahoma"/>
                <w:b/>
                <w:sz w:val="20"/>
                <w:szCs w:val="20"/>
                <w:lang w:val="en-US"/>
              </w:rPr>
            </w:pPr>
            <w:proofErr w:type="spellStart"/>
            <w:r w:rsidRPr="00A92315">
              <w:rPr>
                <w:rFonts w:ascii="Tahoma" w:hAnsi="Tahoma" w:cs="Tahoma"/>
                <w:b/>
                <w:sz w:val="20"/>
                <w:szCs w:val="20"/>
                <w:lang w:val="en-US"/>
              </w:rPr>
              <w:t>Maaseutuyrityksen</w:t>
            </w:r>
            <w:proofErr w:type="spellEnd"/>
            <w:r w:rsidRPr="00A92315">
              <w:rPr>
                <w:rFonts w:ascii="Tahoma" w:hAnsi="Tahoma" w:cs="Tahoma"/>
                <w:b/>
                <w:sz w:val="20"/>
                <w:szCs w:val="20"/>
                <w:lang w:val="en-US"/>
              </w:rPr>
              <w:t xml:space="preserve"> </w:t>
            </w:r>
            <w:proofErr w:type="spellStart"/>
            <w:r w:rsidRPr="00A92315">
              <w:rPr>
                <w:rFonts w:ascii="Tahoma" w:hAnsi="Tahoma" w:cs="Tahoma"/>
                <w:b/>
                <w:sz w:val="20"/>
                <w:szCs w:val="20"/>
                <w:lang w:val="en-US"/>
              </w:rPr>
              <w:t>johtaminen</w:t>
            </w:r>
            <w:proofErr w:type="spellEnd"/>
          </w:p>
          <w:p w14:paraId="3829221D" w14:textId="77777777" w:rsidR="00A92315" w:rsidRPr="00A92315" w:rsidRDefault="00A92315" w:rsidP="00025E5E">
            <w:pPr>
              <w:spacing w:after="0"/>
              <w:ind w:left="12"/>
              <w:rPr>
                <w:rFonts w:ascii="Tahoma" w:hAnsi="Tahoma" w:cs="Tahoma"/>
                <w:i/>
                <w:sz w:val="20"/>
                <w:szCs w:val="20"/>
                <w:lang w:val="en-US"/>
              </w:rPr>
            </w:pPr>
            <w:r w:rsidRPr="00A92315">
              <w:rPr>
                <w:rFonts w:ascii="Tahoma" w:hAnsi="Tahoma" w:cs="Tahoma"/>
                <w:i/>
                <w:sz w:val="20"/>
                <w:szCs w:val="20"/>
                <w:lang w:val="en-US"/>
              </w:rPr>
              <w:t>(Management of the rural enterprise)</w:t>
            </w:r>
          </w:p>
        </w:tc>
        <w:tc>
          <w:tcPr>
            <w:tcW w:w="6431" w:type="dxa"/>
            <w:tcBorders>
              <w:top w:val="single" w:sz="8" w:space="0" w:color="auto"/>
              <w:left w:val="single" w:sz="8" w:space="0" w:color="auto"/>
              <w:bottom w:val="single" w:sz="8" w:space="0" w:color="auto"/>
              <w:right w:val="single" w:sz="8" w:space="0" w:color="auto"/>
            </w:tcBorders>
          </w:tcPr>
          <w:p w14:paraId="1D0E7C7E"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yrittäjänä halliten yritystoiminnan periaatteet ja liiketoiminnan osa-alueet </w:t>
            </w:r>
          </w:p>
          <w:p w14:paraId="4FCAABF7" w14:textId="77777777"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johtaa ja kehittää monialaista maaseutuyritystä suunnitelmallisesti sekä taloudellisesti kannattavalla tavalla</w:t>
            </w:r>
          </w:p>
          <w:p w14:paraId="72018C8A"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toimialan muutoksia ja vaikuttaa alan kehitykseen tavoitteellisesti</w:t>
            </w:r>
          </w:p>
          <w:p w14:paraId="2D33F36E" w14:textId="6F7EE419" w:rsidR="00A92315" w:rsidRPr="00A92315" w:rsidRDefault="00A92315" w:rsidP="00A92315">
            <w:pPr>
              <w:pStyle w:val="Default"/>
              <w:ind w:left="720"/>
              <w:rPr>
                <w:rFonts w:ascii="Tahoma" w:hAnsi="Tahoma" w:cs="Tahoma"/>
                <w:sz w:val="20"/>
                <w:szCs w:val="20"/>
              </w:rPr>
            </w:pPr>
          </w:p>
        </w:tc>
      </w:tr>
      <w:tr w:rsidR="00A92315" w:rsidRPr="00A92315" w14:paraId="06452B2C" w14:textId="77777777" w:rsidTr="00025E5E">
        <w:tc>
          <w:tcPr>
            <w:tcW w:w="2929" w:type="dxa"/>
            <w:tcBorders>
              <w:top w:val="single" w:sz="8" w:space="0" w:color="auto"/>
              <w:left w:val="single" w:sz="8" w:space="0" w:color="auto"/>
              <w:bottom w:val="single" w:sz="8" w:space="0" w:color="auto"/>
              <w:right w:val="single" w:sz="8" w:space="0" w:color="auto"/>
            </w:tcBorders>
          </w:tcPr>
          <w:p w14:paraId="362AA09C" w14:textId="77777777" w:rsidR="00A92315" w:rsidRDefault="00A92315" w:rsidP="00025E5E">
            <w:pPr>
              <w:spacing w:after="0"/>
              <w:ind w:left="12"/>
              <w:rPr>
                <w:rFonts w:ascii="Tahoma" w:hAnsi="Tahoma" w:cs="Tahoma"/>
                <w:b/>
                <w:sz w:val="20"/>
                <w:szCs w:val="20"/>
              </w:rPr>
            </w:pPr>
          </w:p>
          <w:p w14:paraId="727D2ED8" w14:textId="65FD0160"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Vastuullinen toiminta ruokaketjussa</w:t>
            </w:r>
          </w:p>
          <w:p w14:paraId="477B01B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w:t>
            </w:r>
            <w:proofErr w:type="spellStart"/>
            <w:r w:rsidRPr="00A92315">
              <w:rPr>
                <w:rFonts w:ascii="Tahoma" w:hAnsi="Tahoma" w:cs="Tahoma"/>
                <w:i/>
                <w:sz w:val="20"/>
                <w:szCs w:val="20"/>
              </w:rPr>
              <w:t>Responsibility</w:t>
            </w:r>
            <w:proofErr w:type="spellEnd"/>
            <w:r w:rsidRPr="00A92315">
              <w:rPr>
                <w:rFonts w:ascii="Tahoma" w:hAnsi="Tahoma" w:cs="Tahoma"/>
                <w:i/>
                <w:sz w:val="20"/>
                <w:szCs w:val="20"/>
              </w:rPr>
              <w:t xml:space="preserve"> in food </w:t>
            </w:r>
            <w:proofErr w:type="spellStart"/>
            <w:r w:rsidRPr="00A92315">
              <w:rPr>
                <w:rFonts w:ascii="Tahoma" w:hAnsi="Tahoma" w:cs="Tahoma"/>
                <w:i/>
                <w:sz w:val="20"/>
                <w:szCs w:val="20"/>
              </w:rPr>
              <w:t>chain</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4FD9D06" w14:textId="77777777" w:rsidR="00A92315" w:rsidRP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 xml:space="preserve">osaa toimia vastuullisesti ruokaketjussa oman roolinsa edellyttämällä tavalla </w:t>
            </w:r>
          </w:p>
          <w:p w14:paraId="207DDD54" w14:textId="77777777" w:rsidR="00A92315" w:rsidRP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kehittää yritystä ympäristövastuullisesti huomioiden maaseutuyrityksen ja ympäristön vuorovaikutuksen</w:t>
            </w:r>
          </w:p>
          <w:p w14:paraId="5886EF2E" w14:textId="77777777" w:rsidR="00A92315" w:rsidRDefault="00A92315" w:rsidP="00A92315">
            <w:pPr>
              <w:pStyle w:val="Default"/>
              <w:numPr>
                <w:ilvl w:val="0"/>
                <w:numId w:val="8"/>
              </w:numPr>
              <w:rPr>
                <w:rFonts w:ascii="Tahoma" w:hAnsi="Tahoma" w:cs="Tahoma"/>
                <w:sz w:val="20"/>
                <w:szCs w:val="20"/>
              </w:rPr>
            </w:pPr>
            <w:r w:rsidRPr="00A92315">
              <w:rPr>
                <w:rFonts w:ascii="Tahoma" w:hAnsi="Tahoma" w:cs="Tahoma"/>
                <w:sz w:val="20"/>
                <w:szCs w:val="20"/>
              </w:rPr>
              <w:t>osaa ennakoida loppukäyttäjän tarpeita ja toimia markkinalähtöisesti</w:t>
            </w:r>
          </w:p>
          <w:p w14:paraId="17A09372" w14:textId="61E63B89" w:rsidR="00A92315" w:rsidRPr="00A92315" w:rsidRDefault="00A92315" w:rsidP="00A92315">
            <w:pPr>
              <w:pStyle w:val="Default"/>
              <w:ind w:left="720"/>
              <w:rPr>
                <w:rFonts w:ascii="Tahoma" w:hAnsi="Tahoma" w:cs="Tahoma"/>
                <w:sz w:val="20"/>
                <w:szCs w:val="20"/>
              </w:rPr>
            </w:pPr>
          </w:p>
        </w:tc>
      </w:tr>
      <w:tr w:rsidR="00A92315" w:rsidRPr="00A92315" w14:paraId="1A6243FB" w14:textId="77777777" w:rsidTr="00025E5E">
        <w:tc>
          <w:tcPr>
            <w:tcW w:w="2929" w:type="dxa"/>
            <w:tcBorders>
              <w:top w:val="single" w:sz="8" w:space="0" w:color="auto"/>
              <w:left w:val="single" w:sz="8" w:space="0" w:color="auto"/>
              <w:bottom w:val="single" w:sz="8" w:space="0" w:color="auto"/>
              <w:right w:val="single" w:sz="8" w:space="0" w:color="auto"/>
            </w:tcBorders>
          </w:tcPr>
          <w:p w14:paraId="349A6680" w14:textId="77777777" w:rsidR="00A92315" w:rsidRDefault="00A92315" w:rsidP="00025E5E">
            <w:pPr>
              <w:spacing w:after="0"/>
              <w:ind w:left="12"/>
              <w:rPr>
                <w:rFonts w:ascii="Tahoma" w:hAnsi="Tahoma" w:cs="Tahoma"/>
                <w:b/>
                <w:sz w:val="20"/>
                <w:szCs w:val="20"/>
              </w:rPr>
            </w:pPr>
          </w:p>
          <w:p w14:paraId="2695F7A6" w14:textId="1C604742"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 xml:space="preserve">Ammatillinen </w:t>
            </w:r>
          </w:p>
          <w:p w14:paraId="624A6BC7" w14:textId="77777777" w:rsidR="00A92315" w:rsidRPr="00A92315" w:rsidRDefault="00A92315" w:rsidP="00025E5E">
            <w:pPr>
              <w:spacing w:after="0"/>
              <w:ind w:left="12"/>
              <w:rPr>
                <w:rFonts w:ascii="Tahoma" w:hAnsi="Tahoma" w:cs="Tahoma"/>
                <w:b/>
                <w:sz w:val="20"/>
                <w:szCs w:val="20"/>
              </w:rPr>
            </w:pPr>
            <w:r w:rsidRPr="00A92315">
              <w:rPr>
                <w:rFonts w:ascii="Tahoma" w:hAnsi="Tahoma" w:cs="Tahoma"/>
                <w:b/>
                <w:sz w:val="20"/>
                <w:szCs w:val="20"/>
              </w:rPr>
              <w:t>erityisosaaminen</w:t>
            </w:r>
          </w:p>
          <w:p w14:paraId="5C158E47" w14:textId="77777777" w:rsidR="00A92315" w:rsidRPr="00A92315" w:rsidRDefault="00A92315" w:rsidP="00025E5E">
            <w:pPr>
              <w:spacing w:after="0"/>
              <w:ind w:left="12"/>
              <w:rPr>
                <w:rFonts w:ascii="Tahoma" w:hAnsi="Tahoma" w:cs="Tahoma"/>
                <w:i/>
                <w:sz w:val="20"/>
                <w:szCs w:val="20"/>
              </w:rPr>
            </w:pPr>
            <w:r w:rsidRPr="00A92315">
              <w:rPr>
                <w:rFonts w:ascii="Tahoma" w:hAnsi="Tahoma" w:cs="Tahoma"/>
                <w:i/>
                <w:sz w:val="20"/>
                <w:szCs w:val="20"/>
              </w:rPr>
              <w:t xml:space="preserve">(Professional </w:t>
            </w:r>
            <w:proofErr w:type="spellStart"/>
            <w:r w:rsidRPr="00A92315">
              <w:rPr>
                <w:rFonts w:ascii="Tahoma" w:hAnsi="Tahoma" w:cs="Tahoma"/>
                <w:i/>
                <w:sz w:val="20"/>
                <w:szCs w:val="20"/>
              </w:rPr>
              <w:t>expertise</w:t>
            </w:r>
            <w:proofErr w:type="spellEnd"/>
            <w:r w:rsidRPr="00A92315">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14:paraId="504E46C0" w14:textId="77777777" w:rsidR="00A92315" w:rsidRDefault="00A92315" w:rsidP="00A92315">
            <w:pPr>
              <w:pStyle w:val="Default"/>
              <w:numPr>
                <w:ilvl w:val="0"/>
                <w:numId w:val="8"/>
              </w:numPr>
              <w:spacing w:before="240"/>
              <w:rPr>
                <w:rFonts w:ascii="Tahoma" w:hAnsi="Tahoma" w:cs="Tahoma"/>
                <w:sz w:val="20"/>
                <w:szCs w:val="20"/>
              </w:rPr>
            </w:pPr>
            <w:r w:rsidRPr="00A92315">
              <w:rPr>
                <w:rFonts w:ascii="Tahoma" w:hAnsi="Tahoma" w:cs="Tahoma"/>
                <w:sz w:val="20"/>
                <w:szCs w:val="20"/>
              </w:rPr>
              <w:t>kehittää valitsemaansa erityisosaamisaluetta ja toimia alan asiantuntijatehtävissä</w:t>
            </w:r>
          </w:p>
          <w:p w14:paraId="42002398" w14:textId="4B928D94" w:rsidR="00A92315" w:rsidRPr="00A92315" w:rsidRDefault="00A92315" w:rsidP="00A92315">
            <w:pPr>
              <w:pStyle w:val="Default"/>
              <w:spacing w:before="240"/>
              <w:ind w:left="720"/>
              <w:rPr>
                <w:rFonts w:ascii="Tahoma" w:hAnsi="Tahoma" w:cs="Tahoma"/>
                <w:sz w:val="20"/>
                <w:szCs w:val="20"/>
              </w:rPr>
            </w:pPr>
          </w:p>
        </w:tc>
      </w:tr>
    </w:tbl>
    <w:p w14:paraId="27CE0FCF" w14:textId="77777777" w:rsidR="008261FD" w:rsidRDefault="008261FD"/>
    <w:sectPr w:rsidR="00826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CEE36FB"/>
    <w:multiLevelType w:val="hybridMultilevel"/>
    <w:tmpl w:val="61E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6" w15:restartNumberingAfterBreak="0">
    <w:nsid w:val="58C661F0"/>
    <w:multiLevelType w:val="hybridMultilevel"/>
    <w:tmpl w:val="250A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0"/>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5"/>
    <w:rsid w:val="008261FD"/>
    <w:rsid w:val="00A62C92"/>
    <w:rsid w:val="00A92315"/>
    <w:rsid w:val="00D07E67"/>
    <w:rsid w:val="00EE65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8AC"/>
  <w15:chartTrackingRefBased/>
  <w15:docId w15:val="{5260F6EA-9D1F-46CB-B411-A3C20557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231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A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315"/>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Hyperlinkki">
    <w:name w:val="Hyperlink"/>
    <w:basedOn w:val="Kappaleenoletusfontti"/>
    <w:uiPriority w:val="99"/>
    <w:unhideWhenUsed/>
    <w:rsid w:val="00D07E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714</Words>
  <Characters>5791</Characters>
  <Application>Microsoft Office Word</Application>
  <DocSecurity>0</DocSecurity>
  <Lines>48</Lines>
  <Paragraphs>12</Paragraphs>
  <ScaleCrop>false</ScaleCrop>
  <Company>Savonia-AMK Oy, Tietohallinto</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Moilanen</dc:creator>
  <cp:keywords/>
  <dc:description/>
  <cp:lastModifiedBy>Taina Moilanen</cp:lastModifiedBy>
  <cp:revision>4</cp:revision>
  <cp:lastPrinted>2022-11-22T13:02:00Z</cp:lastPrinted>
  <dcterms:created xsi:type="dcterms:W3CDTF">2022-11-22T12:44:00Z</dcterms:created>
  <dcterms:modified xsi:type="dcterms:W3CDTF">2022-11-22T13:16:00Z</dcterms:modified>
</cp:coreProperties>
</file>