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30" w:rsidRDefault="007F4C30" w:rsidP="007F4C30">
      <w:r>
        <w:t>TYKO22</w:t>
      </w:r>
      <w:r>
        <w:t>SY_3</w:t>
      </w:r>
    </w:p>
    <w:tbl>
      <w:tblPr>
        <w:tblStyle w:val="TaulukkoRuudukko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64"/>
        <w:gridCol w:w="6656"/>
      </w:tblGrid>
      <w:tr w:rsidR="007F4C30" w:rsidTr="00DE2DF1">
        <w:tc>
          <w:tcPr>
            <w:tcW w:w="2864" w:type="dxa"/>
            <w:shd w:val="clear" w:color="auto" w:fill="31A3B5"/>
          </w:tcPr>
          <w:p w:rsidR="007F4C30" w:rsidRPr="00291EDD" w:rsidRDefault="007F4C30" w:rsidP="00DE2DF1">
            <w:pPr>
              <w:pStyle w:val="Kansilehdenotsikontarkenne"/>
              <w:rPr>
                <w:rFonts w:cstheme="majorHAnsi"/>
                <w:sz w:val="24"/>
              </w:rPr>
            </w:pPr>
            <w:r w:rsidRPr="00291EDD">
              <w:rPr>
                <w:rFonts w:cstheme="majorHAnsi"/>
                <w:sz w:val="24"/>
              </w:rPr>
              <w:t>Tutkinto-ohjelmakohtaiset</w:t>
            </w:r>
            <w:r w:rsidRPr="00291EDD">
              <w:rPr>
                <w:rFonts w:cstheme="majorHAnsi"/>
                <w:sz w:val="24"/>
              </w:rPr>
              <w:br/>
              <w:t>ammatilliset kompetenssit</w:t>
            </w:r>
          </w:p>
        </w:tc>
        <w:tc>
          <w:tcPr>
            <w:tcW w:w="6656" w:type="dxa"/>
            <w:shd w:val="clear" w:color="auto" w:fill="31A3B5"/>
          </w:tcPr>
          <w:p w:rsidR="007F4C30" w:rsidRPr="00291EDD" w:rsidRDefault="007F4C30" w:rsidP="00DE2DF1">
            <w:pPr>
              <w:pStyle w:val="Kansilehdenotsikontarkenne"/>
              <w:rPr>
                <w:rFonts w:cstheme="majorHAnsi"/>
                <w:snapToGrid w:val="0"/>
                <w:sz w:val="24"/>
              </w:rPr>
            </w:pPr>
            <w:r w:rsidRPr="00291EDD">
              <w:rPr>
                <w:rFonts w:cstheme="majorHAnsi"/>
                <w:snapToGrid w:val="0"/>
                <w:sz w:val="24"/>
              </w:rPr>
              <w:t xml:space="preserve">Osaamisen kuvaus </w:t>
            </w:r>
            <w:r w:rsidRPr="00291EDD">
              <w:rPr>
                <w:rFonts w:cstheme="majorHAnsi"/>
                <w:snapToGrid w:val="0"/>
                <w:sz w:val="24"/>
              </w:rPr>
              <w:br/>
            </w:r>
            <w:r w:rsidRPr="00291EDD">
              <w:rPr>
                <w:rFonts w:cstheme="majorHAnsi"/>
                <w:sz w:val="24"/>
              </w:rPr>
              <w:t>Hyvinvointikoordinaattori</w:t>
            </w:r>
          </w:p>
        </w:tc>
      </w:tr>
      <w:tr w:rsidR="007F4C30" w:rsidRPr="00291EDD" w:rsidTr="00DE2DF1">
        <w:tc>
          <w:tcPr>
            <w:tcW w:w="2864" w:type="dxa"/>
          </w:tcPr>
          <w:p w:rsidR="007F4C30" w:rsidRPr="00291EDD" w:rsidRDefault="007F4C30" w:rsidP="00DE2DF1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91EDD">
              <w:rPr>
                <w:rFonts w:asciiTheme="minorHAnsi" w:hAnsiTheme="minorHAnsi" w:cstheme="minorHAnsi"/>
                <w:b/>
              </w:rPr>
              <w:t xml:space="preserve">Hyvinvoinnin ja terveyden edistämisen osaaminen </w:t>
            </w:r>
            <w:r w:rsidRPr="00291EDD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6656" w:type="dxa"/>
          </w:tcPr>
          <w:p w:rsidR="007F4C30" w:rsidRPr="00291EDD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 w:rsidRPr="00291EDD">
              <w:rPr>
                <w:rFonts w:asciiTheme="minorHAnsi" w:eastAsia="Tahoma" w:hAnsiTheme="minorHAnsi" w:cstheme="minorHAnsi"/>
                <w:szCs w:val="20"/>
              </w:rPr>
              <w:t xml:space="preserve">osaa tehdä yhteistyötä palvelualueiden kanssa ja soveltaa hyvinvointia ja terveyttä edistäviä hyviä käytäntöjä näiden toimintaan </w:t>
            </w:r>
          </w:p>
          <w:p w:rsidR="007F4C30" w:rsidRPr="00291EDD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>
              <w:rPr>
                <w:rFonts w:asciiTheme="minorHAnsi" w:eastAsia="Tahoma" w:hAnsiTheme="minorHAnsi" w:cstheme="minorHAnsi"/>
                <w:szCs w:val="20"/>
              </w:rPr>
              <w:t>osaa arvioida ja analysoid</w:t>
            </w:r>
            <w:r w:rsidRPr="00291EDD">
              <w:rPr>
                <w:rFonts w:asciiTheme="minorHAnsi" w:eastAsia="Tahoma" w:hAnsiTheme="minorHAnsi" w:cstheme="minorHAnsi"/>
                <w:szCs w:val="20"/>
              </w:rPr>
              <w:t>a yhteiskunnan muutoksia hyvinvointi- ja terveysvaikutusten kannalta ja kehittää toimialueensa hyvinvointiraportointia ja -suunnittelua ajankohtaista alan lainsäädäntöä noudattaen</w:t>
            </w:r>
          </w:p>
          <w:p w:rsidR="007F4C30" w:rsidRPr="00291EDD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 w:rsidRPr="00291EDD">
              <w:rPr>
                <w:rFonts w:asciiTheme="minorHAnsi" w:eastAsia="Tahoma" w:hAnsiTheme="minorHAnsi" w:cstheme="minorHAnsi"/>
                <w:szCs w:val="20"/>
              </w:rPr>
              <w:t>osaa kehittää ja koordinoida alueen asukkaiden tai organisaation asiakkaiden hyvinvoinnin ja terveyden edistämistä osana strategista kehittämistä</w:t>
            </w:r>
          </w:p>
          <w:p w:rsidR="007F4C30" w:rsidRPr="00291EDD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>
              <w:rPr>
                <w:rFonts w:asciiTheme="minorHAnsi" w:eastAsia="Tahoma" w:hAnsiTheme="minorHAnsi" w:cstheme="minorHAnsi"/>
                <w:szCs w:val="20"/>
              </w:rPr>
              <w:t>osaa suunnit</w:t>
            </w:r>
            <w:r w:rsidRPr="00291EDD">
              <w:rPr>
                <w:rFonts w:asciiTheme="minorHAnsi" w:eastAsia="Tahoma" w:hAnsiTheme="minorHAnsi" w:cstheme="minorHAnsi"/>
                <w:szCs w:val="20"/>
              </w:rPr>
              <w:t xml:space="preserve">ella ja toteuttaa itsenäisesti strategiaprosessin kaikkine vaiheineen ja kehittää toimintaympäristön strategioita asiakaslähtöisesti ja palautetietoa hyödyntäen. </w:t>
            </w:r>
          </w:p>
        </w:tc>
      </w:tr>
      <w:tr w:rsidR="007F4C30" w:rsidRPr="00291EDD" w:rsidTr="00DE2DF1">
        <w:tc>
          <w:tcPr>
            <w:tcW w:w="2864" w:type="dxa"/>
          </w:tcPr>
          <w:p w:rsidR="007F4C30" w:rsidRPr="00291EDD" w:rsidRDefault="007F4C30" w:rsidP="00DE2DF1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91EDD">
              <w:rPr>
                <w:rFonts w:asciiTheme="minorHAnsi" w:hAnsiTheme="minorHAnsi" w:cstheme="minorHAnsi"/>
                <w:b/>
              </w:rPr>
              <w:t xml:space="preserve">Kehittämisosaaminen </w:t>
            </w:r>
            <w:r w:rsidRPr="00291EDD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6656" w:type="dxa"/>
          </w:tcPr>
          <w:p w:rsidR="007F4C30" w:rsidRPr="00291EDD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 w:rsidRPr="00291EDD">
              <w:rPr>
                <w:rFonts w:asciiTheme="minorHAnsi" w:eastAsia="Tahoma" w:hAnsiTheme="minorHAnsi" w:cstheme="minorHAnsi"/>
                <w:szCs w:val="20"/>
              </w:rPr>
              <w:t>osaa toteuttaa ja johtaa työelämän strategialähtöisiä tutkimus- ja kehittämisprosesseja yhteistyössä työntekijöiden ja asiantuntijoiden kanssa tieteellisesti päteviä menetelmiä soveltaen</w:t>
            </w:r>
          </w:p>
          <w:p w:rsidR="007F4C30" w:rsidRPr="00291EDD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 w:rsidRPr="00291EDD">
              <w:rPr>
                <w:rFonts w:asciiTheme="minorHAnsi" w:eastAsia="Tahoma" w:hAnsiTheme="minorHAnsi" w:cstheme="minorHAnsi"/>
                <w:szCs w:val="20"/>
              </w:rPr>
              <w:t xml:space="preserve">osaa reflektoida, mallintaa ja johtaa muutos- ja ongelmaratkaisuprosesseja yhteistyössä työyhteisön jäsenten kanssa </w:t>
            </w:r>
          </w:p>
          <w:p w:rsidR="007F4C30" w:rsidRPr="00291EDD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 w:rsidRPr="00291EDD">
              <w:rPr>
                <w:rFonts w:asciiTheme="minorHAnsi" w:eastAsia="Tahoma" w:hAnsiTheme="minorHAnsi" w:cstheme="minorHAnsi"/>
                <w:szCs w:val="20"/>
              </w:rPr>
              <w:t>osaa tunnistaa ja uusia kehitystrendejä ennakoivia signaaleja ja  vastata haasteisiin ennakoinnin menetelmiä soveltaen</w:t>
            </w:r>
          </w:p>
        </w:tc>
      </w:tr>
      <w:tr w:rsidR="007F4C30" w:rsidRPr="00291EDD" w:rsidTr="00DE2DF1">
        <w:tc>
          <w:tcPr>
            <w:tcW w:w="2864" w:type="dxa"/>
          </w:tcPr>
          <w:p w:rsidR="007F4C30" w:rsidRPr="00291EDD" w:rsidRDefault="007F4C30" w:rsidP="00DE2DF1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91EDD">
              <w:rPr>
                <w:rFonts w:asciiTheme="minorHAnsi" w:hAnsiTheme="minorHAnsi" w:cstheme="minorHAnsi"/>
                <w:b/>
              </w:rPr>
              <w:t>Johtamisosaaminen</w:t>
            </w:r>
            <w:r w:rsidRPr="00291EDD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6656" w:type="dxa"/>
          </w:tcPr>
          <w:p w:rsidR="007F4C30" w:rsidRPr="00291EDD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 w:rsidRPr="00291EDD">
              <w:rPr>
                <w:rFonts w:asciiTheme="minorHAnsi" w:eastAsia="Tahoma" w:hAnsiTheme="minorHAnsi" w:cstheme="minorHAnsi"/>
                <w:szCs w:val="20"/>
              </w:rPr>
              <w:t>osaa arvioida ja kehittää yhteiskunta- ja asiakaslähtöisesti organisaation johtamisjärjestelmää, ennakoida toimintaympäristön muutoksia ja vastata muutostarpeisiin johtamisjärjestelmää kehittämällä</w:t>
            </w:r>
          </w:p>
          <w:p w:rsidR="007F4C30" w:rsidRPr="00291EDD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 w:rsidRPr="00291EDD">
              <w:rPr>
                <w:rFonts w:asciiTheme="minorHAnsi" w:eastAsia="Tahoma" w:hAnsiTheme="minorHAnsi" w:cstheme="minorHAnsi"/>
                <w:szCs w:val="20"/>
              </w:rPr>
              <w:t>osaa jatkuvasti kehittää turvallisuusjohtamisen osa-alueita asiakas- ja työyhteisössä ja ylläpitää työhyvinvointia myönteisessä ilmapiirissä</w:t>
            </w:r>
          </w:p>
          <w:p w:rsidR="007F4C30" w:rsidRDefault="007F4C30" w:rsidP="00DE2DF1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Theme="minorHAnsi" w:eastAsia="Tahoma" w:hAnsiTheme="minorHAnsi" w:cstheme="minorHAnsi"/>
                <w:szCs w:val="20"/>
              </w:rPr>
            </w:pPr>
            <w:r w:rsidRPr="00291EDD">
              <w:rPr>
                <w:rFonts w:asciiTheme="minorHAnsi" w:eastAsia="Tahoma" w:hAnsiTheme="minorHAnsi" w:cstheme="minorHAnsi"/>
                <w:szCs w:val="20"/>
              </w:rPr>
              <w:t>osaa ohjata omaa ja työyhteisön toimintaa eettisesti kestävien periaatteiden mukaan tiedostaen ammatillisen kasvun ja kehittymisen merkityksen työhyvinvoinnille</w:t>
            </w:r>
          </w:p>
          <w:p w:rsidR="007F4C30" w:rsidRPr="007F4C30" w:rsidRDefault="007F4C30" w:rsidP="007F4C30">
            <w:pPr>
              <w:pStyle w:val="Luettelokappale"/>
              <w:numPr>
                <w:ilvl w:val="0"/>
                <w:numId w:val="2"/>
              </w:numPr>
              <w:spacing w:line="240" w:lineRule="auto"/>
              <w:rPr>
                <w:rFonts w:ascii="Tahoma" w:eastAsia="Tahoma" w:hAnsi="Tahoma" w:cs="Tahoma"/>
                <w:szCs w:val="20"/>
              </w:rPr>
            </w:pPr>
            <w:r w:rsidRPr="007F4C30">
              <w:rPr>
                <w:rFonts w:asciiTheme="minorHAnsi" w:eastAsia="Tahoma" w:hAnsiTheme="minorHAnsi" w:cstheme="minorHAnsi"/>
                <w:szCs w:val="20"/>
              </w:rPr>
              <w:t>osaa edistää toimintaympäristön kansainvälistymiskehitystä ja toteuttaa monikulttuurista työskentely hyvinvointityössä</w:t>
            </w:r>
          </w:p>
        </w:tc>
      </w:tr>
    </w:tbl>
    <w:p w:rsidR="007F4C30" w:rsidRPr="00291EDD" w:rsidRDefault="007F4C30" w:rsidP="007F4C30">
      <w:pPr>
        <w:pStyle w:val="Luettelokappale"/>
        <w:numPr>
          <w:ilvl w:val="0"/>
          <w:numId w:val="0"/>
        </w:numPr>
        <w:spacing w:line="240" w:lineRule="auto"/>
        <w:ind w:left="720"/>
        <w:rPr>
          <w:rFonts w:asciiTheme="minorHAnsi" w:eastAsia="Tahoma" w:hAnsiTheme="minorHAnsi" w:cstheme="minorHAnsi"/>
          <w:sz w:val="20"/>
          <w:szCs w:val="20"/>
          <w:lang w:eastAsia="fi-FI"/>
        </w:rPr>
      </w:pPr>
    </w:p>
    <w:p w:rsidR="006D0ED9" w:rsidRDefault="006D0ED9">
      <w:bookmarkStart w:id="0" w:name="_GoBack"/>
      <w:bookmarkEnd w:id="0"/>
    </w:p>
    <w:sectPr w:rsidR="006D0E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685"/>
    <w:multiLevelType w:val="hybridMultilevel"/>
    <w:tmpl w:val="776287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30"/>
    <w:rsid w:val="006D0ED9"/>
    <w:rsid w:val="007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03C5"/>
  <w15:chartTrackingRefBased/>
  <w15:docId w15:val="{0ADC46FE-3A31-4E34-9E63-AE77CA42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F4C3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F4C30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7F4C30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7F4C30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Luettelokappale">
    <w:name w:val="List Paragraph"/>
    <w:basedOn w:val="Normaali"/>
    <w:uiPriority w:val="34"/>
    <w:qFormat/>
    <w:rsid w:val="007F4C30"/>
    <w:pPr>
      <w:numPr>
        <w:numId w:val="1"/>
      </w:numPr>
      <w:spacing w:after="0" w:line="360" w:lineRule="auto"/>
      <w:contextualSpacing/>
    </w:pPr>
    <w:rPr>
      <w:rFonts w:ascii="Georgia" w:eastAsia="Times New Roman" w:hAnsi="Georgia" w:cs="Times New Roman"/>
      <w:szCs w:val="24"/>
    </w:rPr>
  </w:style>
  <w:style w:type="paragraph" w:styleId="Eivli">
    <w:name w:val="No Spacing"/>
    <w:uiPriority w:val="1"/>
    <w:qFormat/>
    <w:rsid w:val="007F4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1</cp:revision>
  <dcterms:created xsi:type="dcterms:W3CDTF">2021-11-16T06:33:00Z</dcterms:created>
  <dcterms:modified xsi:type="dcterms:W3CDTF">2021-11-16T06:36:00Z</dcterms:modified>
</cp:coreProperties>
</file>