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0415A5" w:rsidRPr="00576BEF" w14:paraId="7BA9D7D9" w14:textId="77777777" w:rsidTr="000A2967">
        <w:tc>
          <w:tcPr>
            <w:tcW w:w="2093" w:type="dxa"/>
            <w:shd w:val="clear" w:color="auto" w:fill="31A3B5"/>
          </w:tcPr>
          <w:p w14:paraId="6DE0C430" w14:textId="77777777" w:rsidR="000415A5" w:rsidRPr="00576BEF" w:rsidRDefault="000415A5" w:rsidP="000A2967">
            <w:pPr>
              <w:spacing w:before="240"/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31A3B5"/>
          </w:tcPr>
          <w:p w14:paraId="62D35C7F" w14:textId="77777777" w:rsidR="000415A5" w:rsidRPr="00485C9C" w:rsidRDefault="000415A5" w:rsidP="000A2967">
            <w:pPr>
              <w:spacing w:before="240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6190661A" w14:textId="77777777" w:rsidR="000415A5" w:rsidRPr="00485C9C" w:rsidRDefault="000415A5" w:rsidP="000A2967">
            <w:pPr>
              <w:spacing w:before="240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0415A5" w:rsidRPr="00576BEF" w14:paraId="220A4F37" w14:textId="77777777" w:rsidTr="000A2967">
        <w:tc>
          <w:tcPr>
            <w:tcW w:w="2093" w:type="dxa"/>
          </w:tcPr>
          <w:p w14:paraId="3DCA88F5" w14:textId="08009B03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Perusopinnot  </w:t>
            </w:r>
          </w:p>
        </w:tc>
        <w:tc>
          <w:tcPr>
            <w:tcW w:w="1134" w:type="dxa"/>
          </w:tcPr>
          <w:p w14:paraId="1DF4F2DA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20 op</w:t>
            </w:r>
          </w:p>
        </w:tc>
        <w:tc>
          <w:tcPr>
            <w:tcW w:w="6551" w:type="dxa"/>
          </w:tcPr>
          <w:p w14:paraId="5915527C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Musiikkipedagogin perusopinnot koostuvat opintoihin orientoivista, työelämään valmistavista yleisistä opinnoista, kieliopinnoista ja tutkimuksen perusopinnoista</w:t>
            </w:r>
          </w:p>
        </w:tc>
      </w:tr>
      <w:tr w:rsidR="000415A5" w:rsidRPr="00576BEF" w14:paraId="6D36FDB6" w14:textId="77777777" w:rsidTr="000A2967">
        <w:tc>
          <w:tcPr>
            <w:tcW w:w="2093" w:type="dxa"/>
          </w:tcPr>
          <w:p w14:paraId="008DC79A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5A2F1185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AC00C75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115 op</w:t>
            </w:r>
          </w:p>
        </w:tc>
        <w:tc>
          <w:tcPr>
            <w:tcW w:w="6551" w:type="dxa"/>
          </w:tcPr>
          <w:p w14:paraId="14AAD473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Musiikkipedagogin ammattiopinnot koostuvat musiikillista osaamista vahvistavista opinnoista. Opiskelija voi syventää omaa ammatillista osaamistaan toimimalla erilaisissa monialaisissa projekteissa. Myös yhteismusisoinnilla, workshopeilla, kamarimusiikilla ja orkesteritoiminnalla on merkittävä osuus yhteisöllisyyden ja vuorovaikutustaitojen kehittäjänä.</w:t>
            </w:r>
          </w:p>
          <w:p w14:paraId="78A5017C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Ammattiopinnoissa opiskelija vahvistaa omaa profiiliaan ja urasuunnitelmaansa musiikkipedagogin erilaisiin tehtäviin.</w:t>
            </w:r>
          </w:p>
        </w:tc>
      </w:tr>
      <w:tr w:rsidR="000415A5" w:rsidRPr="00576BEF" w14:paraId="4F99402A" w14:textId="77777777" w:rsidTr="000A2967">
        <w:tc>
          <w:tcPr>
            <w:tcW w:w="2093" w:type="dxa"/>
          </w:tcPr>
          <w:p w14:paraId="71B01F22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Pedagogiset opinnot ja pedagoginen harjoittelu</w:t>
            </w:r>
          </w:p>
        </w:tc>
        <w:tc>
          <w:tcPr>
            <w:tcW w:w="1134" w:type="dxa"/>
          </w:tcPr>
          <w:p w14:paraId="0CA74A79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8E0C5D3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60 op</w:t>
            </w:r>
          </w:p>
        </w:tc>
        <w:tc>
          <w:tcPr>
            <w:tcW w:w="6551" w:type="dxa"/>
          </w:tcPr>
          <w:p w14:paraId="3211D62B" w14:textId="6D847388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Musiikkipedagogin tutkintoon sisältyvät ammatillisen opettajakorkeakoulun kanssa yhdessä järjestettävät monipuoliset kasvatustieteelliset ja ainepedagogiset opinnot (60</w:t>
            </w:r>
            <w:r w:rsidR="0047387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 xml:space="preserve">op) opetusharjoitteluineen. Koulutus antaa laaja-alaisen yleisen opettajan pätevyyden. </w:t>
            </w:r>
          </w:p>
          <w:p w14:paraId="7151F108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 xml:space="preserve">Opiskelija tiedostaa musiikkipedagogin työhön sisältyvien kontekstien ja lähestymistapojen moninaisuuden. </w:t>
            </w:r>
          </w:p>
          <w:p w14:paraId="6F98AFB2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Koulutus antaa mahdollisuuden perehtyä musiikin soveltavaan käyttöön erilaisissa konteksteissa. Opiskelijalla on tietoa musiikin merkityksestä osallisuuden ja yhteisöllisyyden edistäjänä.</w:t>
            </w:r>
          </w:p>
        </w:tc>
      </w:tr>
      <w:tr w:rsidR="000415A5" w:rsidRPr="00576BEF" w14:paraId="08410087" w14:textId="77777777" w:rsidTr="000A2967">
        <w:tc>
          <w:tcPr>
            <w:tcW w:w="2093" w:type="dxa"/>
          </w:tcPr>
          <w:p w14:paraId="453F78E1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2F0D1F9D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58295A4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1DB3729F" w14:textId="77777777" w:rsidR="000415A5" w:rsidRPr="00485C9C" w:rsidRDefault="000415A5" w:rsidP="000415A5">
            <w:pPr>
              <w:autoSpaceDE w:val="0"/>
              <w:autoSpaceDN w:val="0"/>
              <w:spacing w:before="120" w:after="120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0415A5" w:rsidRPr="00576BEF" w14:paraId="7866111B" w14:textId="77777777" w:rsidTr="000A2967">
        <w:tc>
          <w:tcPr>
            <w:tcW w:w="2093" w:type="dxa"/>
          </w:tcPr>
          <w:p w14:paraId="40BDE873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Opinnäytetyö</w:t>
            </w:r>
          </w:p>
          <w:p w14:paraId="508B6077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08329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4B46BC6" w14:textId="359F3346" w:rsidR="000415A5" w:rsidRPr="00485C9C" w:rsidRDefault="000415A5" w:rsidP="000415A5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Tavoitteena on, että opiskelija kehittää työelämää opinnäytetyöllään samalla kun prosessi syventää hänen asiantuntijuuttaan valitussa aiheessa. </w:t>
            </w:r>
            <w:r w:rsidR="00A705D6" w:rsidRPr="00485C9C">
              <w:rPr>
                <w:rFonts w:ascii="Tahoma" w:eastAsia="Times New Roman" w:hAnsi="Tahoma" w:cs="Tahoma"/>
                <w:sz w:val="20"/>
                <w:szCs w:val="20"/>
              </w:rPr>
              <w:t xml:space="preserve">Opinnäytetyöt voivat olla tutkimuksellisia, toiminnallisia tai subjektiivista luovaa ilmaisua. </w:t>
            </w: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Opinnäytetyön tekemisessä opiskelija vastaa</w:t>
            </w:r>
          </w:p>
          <w:p w14:paraId="58976764" w14:textId="77777777" w:rsidR="000415A5" w:rsidRPr="00485C9C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opinnäytetyöidean ja työelämäyhteyden hakemisesta</w:t>
            </w:r>
          </w:p>
          <w:p w14:paraId="436646B6" w14:textId="77777777" w:rsidR="000415A5" w:rsidRPr="00485C9C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opinnäytetyön tehtäväalueeseen perehtymisestä ja tehtävän asettamisesta</w:t>
            </w:r>
          </w:p>
          <w:p w14:paraId="45B396B9" w14:textId="77777777" w:rsidR="000415A5" w:rsidRPr="00485C9C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asetetun tehtävän suorittamisesta ja raportoinnista</w:t>
            </w:r>
          </w:p>
          <w:p w14:paraId="15AA128C" w14:textId="77777777" w:rsidR="000415A5" w:rsidRPr="00485C9C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opinnäytetyön viimeistelystä ja tiedotusmateriaalin laatimisesta.</w:t>
            </w:r>
          </w:p>
          <w:p w14:paraId="38964872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0415A5" w:rsidRPr="00576BEF" w14:paraId="00265562" w14:textId="77777777" w:rsidTr="000A2967">
        <w:tc>
          <w:tcPr>
            <w:tcW w:w="2093" w:type="dxa"/>
          </w:tcPr>
          <w:p w14:paraId="7EAB34E3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>Valinnaiset opin-</w:t>
            </w:r>
            <w:proofErr w:type="spellStart"/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not</w:t>
            </w:r>
            <w:proofErr w:type="spellEnd"/>
          </w:p>
        </w:tc>
        <w:tc>
          <w:tcPr>
            <w:tcW w:w="1134" w:type="dxa"/>
          </w:tcPr>
          <w:p w14:paraId="0918E0E1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1A77C752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 tasoisia opintoja.</w:t>
            </w:r>
          </w:p>
        </w:tc>
      </w:tr>
      <w:tr w:rsidR="000415A5" w:rsidRPr="00576BEF" w14:paraId="3B43CAF5" w14:textId="77777777" w:rsidTr="000A2967">
        <w:tc>
          <w:tcPr>
            <w:tcW w:w="2093" w:type="dxa"/>
          </w:tcPr>
          <w:p w14:paraId="59A633BE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581BE121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C9C">
              <w:rPr>
                <w:rFonts w:ascii="Tahoma" w:eastAsia="Times New Roman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14:paraId="4098A6CD" w14:textId="77777777" w:rsidR="000415A5" w:rsidRPr="00485C9C" w:rsidRDefault="000415A5" w:rsidP="000415A5">
            <w:pPr>
              <w:spacing w:before="120" w:after="12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32CDF398" w14:textId="77777777" w:rsidR="00B244BE" w:rsidRDefault="0047387E"/>
    <w:p w14:paraId="2206D8D9" w14:textId="77777777" w:rsidR="000415A5" w:rsidRDefault="000415A5"/>
    <w:p w14:paraId="7BB9D35F" w14:textId="77777777" w:rsidR="000415A5" w:rsidRDefault="000415A5"/>
    <w:sectPr w:rsidR="000415A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DAFAA" w14:textId="77777777" w:rsidR="00593096" w:rsidRDefault="00593096" w:rsidP="00593096">
      <w:pPr>
        <w:spacing w:after="0" w:line="240" w:lineRule="auto"/>
      </w:pPr>
      <w:r>
        <w:separator/>
      </w:r>
    </w:p>
  </w:endnote>
  <w:endnote w:type="continuationSeparator" w:id="0">
    <w:p w14:paraId="156359A4" w14:textId="77777777" w:rsidR="00593096" w:rsidRDefault="00593096" w:rsidP="0059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28E44" w14:textId="77777777" w:rsidR="00593096" w:rsidRDefault="00593096" w:rsidP="00593096">
      <w:pPr>
        <w:spacing w:after="0" w:line="240" w:lineRule="auto"/>
      </w:pPr>
      <w:r>
        <w:separator/>
      </w:r>
    </w:p>
  </w:footnote>
  <w:footnote w:type="continuationSeparator" w:id="0">
    <w:p w14:paraId="0BE08DE5" w14:textId="77777777" w:rsidR="00593096" w:rsidRDefault="00593096" w:rsidP="0059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5D51C" w14:textId="7F81B76B" w:rsidR="00593096" w:rsidRPr="00593096" w:rsidRDefault="00485C9C" w:rsidP="00593096">
    <w:pPr>
      <w:pStyle w:val="Yltunniste"/>
    </w:pPr>
    <w:r>
      <w:rPr>
        <w:rFonts w:ascii="Calibri Light" w:hAnsi="Calibri Light" w:cs="Calibri Light"/>
        <w:color w:val="FF0000"/>
      </w:rPr>
      <w:t>Kuva 4_</w:t>
    </w:r>
    <w:r w:rsidR="00593096">
      <w:rPr>
        <w:rFonts w:ascii="Calibri Light" w:hAnsi="Calibri Light" w:cs="Calibri Light"/>
        <w:color w:val="FF0000"/>
      </w:rPr>
      <w:t>|DM22SP_4|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6211C"/>
    <w:multiLevelType w:val="hybridMultilevel"/>
    <w:tmpl w:val="824890B6"/>
    <w:lvl w:ilvl="0" w:tplc="040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A5"/>
    <w:rsid w:val="000415A5"/>
    <w:rsid w:val="0007738A"/>
    <w:rsid w:val="00200DEF"/>
    <w:rsid w:val="0047387E"/>
    <w:rsid w:val="00485C9C"/>
    <w:rsid w:val="00593096"/>
    <w:rsid w:val="005B5003"/>
    <w:rsid w:val="00A705D6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E2E2"/>
  <w15:chartTrackingRefBased/>
  <w15:docId w15:val="{6C2EA9B5-4214-4AA4-9D3A-FF004275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5A5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3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096"/>
    <w:rPr>
      <w:rFonts w:eastAsiaTheme="minorEastAsia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593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096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Taina Moilanen</cp:lastModifiedBy>
  <cp:revision>6</cp:revision>
  <dcterms:created xsi:type="dcterms:W3CDTF">2021-11-12T11:19:00Z</dcterms:created>
  <dcterms:modified xsi:type="dcterms:W3CDTF">2021-12-02T12:35:00Z</dcterms:modified>
</cp:coreProperties>
</file>