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6FD6FC80" w:rsidR="00DF3B1B" w:rsidRPr="00B7730F" w:rsidRDefault="00511C2E" w:rsidP="2C445A5A">
      <w:pPr>
        <w:pStyle w:val="Otsikko3"/>
        <w:ind w:left="0" w:firstLine="0"/>
        <w:rPr>
          <w:b w:val="0"/>
          <w:sz w:val="20"/>
          <w:szCs w:val="20"/>
        </w:rPr>
      </w:pPr>
      <w:r w:rsidRPr="00B7730F">
        <w:rPr>
          <w:b w:val="0"/>
          <w:sz w:val="20"/>
          <w:szCs w:val="20"/>
        </w:rPr>
        <w:t>TYGL21SY_1</w:t>
      </w:r>
    </w:p>
    <w:p w14:paraId="567E0A2F" w14:textId="77777777" w:rsidR="00511C2E" w:rsidRPr="00511C2E" w:rsidRDefault="00511C2E" w:rsidP="00511C2E">
      <w:pPr>
        <w:rPr>
          <w:lang w:eastAsia="en-US"/>
        </w:rPr>
      </w:pP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50"/>
        <w:gridCol w:w="6558"/>
      </w:tblGrid>
      <w:tr w:rsidR="00B542F8" w14:paraId="017B68B1" w14:textId="77777777" w:rsidTr="00B542F8">
        <w:tc>
          <w:tcPr>
            <w:tcW w:w="2410" w:type="dxa"/>
            <w:shd w:val="clear" w:color="auto" w:fill="3CADC4"/>
          </w:tcPr>
          <w:p w14:paraId="468FCEB1" w14:textId="77777777" w:rsidR="00DF3B1B" w:rsidRPr="00C83418" w:rsidRDefault="00B542F8" w:rsidP="00BD0B23">
            <w:pPr>
              <w:pStyle w:val="Kansilehdenotsikontarkenne"/>
              <w:rPr>
                <w:rFonts w:ascii="Tahoma" w:hAnsi="Tahoma" w:cs="Tahoma"/>
                <w:color w:val="FFC000" w:themeColor="accent4"/>
                <w:szCs w:val="20"/>
              </w:rPr>
            </w:pPr>
            <w:proofErr w:type="spellStart"/>
            <w:r w:rsidRPr="00C83418">
              <w:rPr>
                <w:rFonts w:ascii="Tahoma" w:hAnsi="Tahoma" w:cs="Tahoma"/>
                <w:szCs w:val="20"/>
              </w:rPr>
              <w:t>Competence</w:t>
            </w:r>
            <w:proofErr w:type="spellEnd"/>
            <w:r w:rsidRPr="00C83418">
              <w:rPr>
                <w:rFonts w:ascii="Tahoma" w:hAnsi="Tahoma" w:cs="Tahoma"/>
                <w:szCs w:val="20"/>
              </w:rPr>
              <w:t xml:space="preserve"> </w:t>
            </w:r>
            <w:proofErr w:type="spellStart"/>
            <w:r w:rsidRPr="00C83418">
              <w:rPr>
                <w:rFonts w:ascii="Tahoma" w:hAnsi="Tahoma" w:cs="Tahoma"/>
                <w:szCs w:val="20"/>
              </w:rPr>
              <w:t>area</w:t>
            </w:r>
            <w:proofErr w:type="spellEnd"/>
          </w:p>
        </w:tc>
        <w:tc>
          <w:tcPr>
            <w:tcW w:w="7336" w:type="dxa"/>
            <w:shd w:val="clear" w:color="auto" w:fill="3CADC4"/>
          </w:tcPr>
          <w:p w14:paraId="58C30165" w14:textId="77777777" w:rsidR="00DF3B1B" w:rsidRPr="00C83418" w:rsidRDefault="00B542F8" w:rsidP="00BD0B23">
            <w:pPr>
              <w:pStyle w:val="Kansilehdenotsikontarkenne"/>
              <w:rPr>
                <w:rFonts w:ascii="Tahoma" w:hAnsi="Tahoma" w:cs="Tahoma"/>
                <w:color w:val="FFC000" w:themeColor="accent4"/>
                <w:szCs w:val="20"/>
              </w:rPr>
            </w:pPr>
            <w:proofErr w:type="spellStart"/>
            <w:r w:rsidRPr="00C83418">
              <w:rPr>
                <w:rFonts w:ascii="Tahoma" w:hAnsi="Tahoma" w:cs="Tahoma"/>
                <w:szCs w:val="20"/>
              </w:rPr>
              <w:t>Competence</w:t>
            </w:r>
            <w:proofErr w:type="spellEnd"/>
            <w:r w:rsidRPr="00C83418">
              <w:rPr>
                <w:rFonts w:ascii="Tahoma" w:hAnsi="Tahoma" w:cs="Tahoma"/>
                <w:szCs w:val="20"/>
              </w:rPr>
              <w:t xml:space="preserve"> at </w:t>
            </w:r>
            <w:proofErr w:type="spellStart"/>
            <w:r w:rsidRPr="00C83418">
              <w:rPr>
                <w:rFonts w:ascii="Tahoma" w:hAnsi="Tahoma" w:cs="Tahoma"/>
                <w:szCs w:val="20"/>
              </w:rPr>
              <w:t>level</w:t>
            </w:r>
            <w:proofErr w:type="spellEnd"/>
            <w:r w:rsidRPr="00C83418">
              <w:rPr>
                <w:rFonts w:ascii="Tahoma" w:hAnsi="Tahoma" w:cs="Tahoma"/>
                <w:szCs w:val="20"/>
              </w:rPr>
              <w:t xml:space="preserve"> 7</w:t>
            </w:r>
          </w:p>
        </w:tc>
      </w:tr>
      <w:tr w:rsidR="00DF3B1B" w:rsidRPr="00513E08" w14:paraId="2389F7A4" w14:textId="77777777" w:rsidTr="00DF3B1B">
        <w:trPr>
          <w:trHeight w:val="1406"/>
        </w:trPr>
        <w:tc>
          <w:tcPr>
            <w:tcW w:w="2410" w:type="dxa"/>
          </w:tcPr>
          <w:p w14:paraId="1FB917AD" w14:textId="77777777" w:rsidR="00DF3B1B" w:rsidRPr="00C83418" w:rsidRDefault="00B542F8" w:rsidP="00B542F8">
            <w:pPr>
              <w:spacing w:before="120"/>
              <w:rPr>
                <w:b/>
                <w:color w:val="FFC000" w:themeColor="accent4"/>
              </w:rPr>
            </w:pPr>
            <w:r w:rsidRPr="00C83418">
              <w:rPr>
                <w:b/>
              </w:rPr>
              <w:t>Knowledge</w:t>
            </w:r>
          </w:p>
        </w:tc>
        <w:tc>
          <w:tcPr>
            <w:tcW w:w="7336" w:type="dxa"/>
          </w:tcPr>
          <w:p w14:paraId="65EB7086" w14:textId="77777777" w:rsidR="00DF3B1B" w:rsidRPr="00C83418" w:rsidRDefault="00DF3B1B" w:rsidP="00DF3B1B">
            <w:pPr>
              <w:spacing w:before="120"/>
              <w:rPr>
                <w:color w:val="000000" w:themeColor="text1"/>
                <w:lang w:val="en-US"/>
              </w:rPr>
            </w:pPr>
            <w:r w:rsidRPr="00C83418">
              <w:rPr>
                <w:color w:val="000000" w:themeColor="text1"/>
                <w:lang w:val="en-US"/>
              </w:rPr>
              <w:t xml:space="preserve">Understands comprehensive and highly </w:t>
            </w:r>
            <w:proofErr w:type="spellStart"/>
            <w:r w:rsidRPr="00C83418">
              <w:rPr>
                <w:color w:val="000000" w:themeColor="text1"/>
                <w:lang w:val="en-US"/>
              </w:rPr>
              <w:t>specialised</w:t>
            </w:r>
            <w:proofErr w:type="spellEnd"/>
            <w:r w:rsidRPr="00C83418">
              <w:rPr>
                <w:color w:val="000000" w:themeColor="text1"/>
                <w:lang w:val="en-US"/>
              </w:rPr>
              <w:t xml:space="preserve"> concepts, methods and knowledge corresponding to the specialized competence in his/her field, which </w:t>
            </w:r>
            <w:proofErr w:type="gramStart"/>
            <w:r w:rsidRPr="00C83418">
              <w:rPr>
                <w:color w:val="000000" w:themeColor="text1"/>
                <w:lang w:val="en-US"/>
              </w:rPr>
              <w:t>are used</w:t>
            </w:r>
            <w:proofErr w:type="gramEnd"/>
            <w:r w:rsidRPr="00C83418">
              <w:rPr>
                <w:color w:val="000000" w:themeColor="text1"/>
                <w:lang w:val="en-US"/>
              </w:rPr>
              <w:t xml:space="preserve"> as the basis for independent thinking and/or research.</w:t>
            </w:r>
          </w:p>
          <w:p w14:paraId="38C7CE8B" w14:textId="77777777" w:rsidR="00DF3B1B" w:rsidRPr="00C83418" w:rsidRDefault="00DF3B1B" w:rsidP="00DF3B1B">
            <w:pPr>
              <w:spacing w:after="120"/>
              <w:rPr>
                <w:color w:val="000000" w:themeColor="text1"/>
                <w:lang w:val="en-US"/>
              </w:rPr>
            </w:pPr>
            <w:r w:rsidRPr="00C83418">
              <w:rPr>
                <w:color w:val="000000" w:themeColor="text1"/>
                <w:lang w:val="en-US"/>
              </w:rPr>
              <w:t>Understands issues that are at the interface between his/her field and different fields and evaluates them and new knowledge critically.</w:t>
            </w:r>
          </w:p>
        </w:tc>
      </w:tr>
      <w:tr w:rsidR="00DF3B1B" w:rsidRPr="00513E08" w14:paraId="7C24139B" w14:textId="77777777" w:rsidTr="00BD0B23">
        <w:tc>
          <w:tcPr>
            <w:tcW w:w="2410" w:type="dxa"/>
          </w:tcPr>
          <w:p w14:paraId="36EB100C" w14:textId="77777777" w:rsidR="00DF3B1B" w:rsidRPr="00C83418" w:rsidRDefault="00B542F8" w:rsidP="00B542F8">
            <w:pPr>
              <w:spacing w:before="120" w:after="120"/>
              <w:rPr>
                <w:b/>
                <w:color w:val="FFC000" w:themeColor="accent4"/>
              </w:rPr>
            </w:pPr>
            <w:proofErr w:type="spellStart"/>
            <w:r w:rsidRPr="00C83418">
              <w:rPr>
                <w:b/>
              </w:rPr>
              <w:t>Skills</w:t>
            </w:r>
            <w:proofErr w:type="spellEnd"/>
            <w:r w:rsidRPr="00C83418">
              <w:rPr>
                <w:b/>
              </w:rPr>
              <w:t xml:space="preserve"> and </w:t>
            </w:r>
            <w:proofErr w:type="spellStart"/>
            <w:r w:rsidRPr="00C83418">
              <w:rPr>
                <w:b/>
              </w:rPr>
              <w:t>application</w:t>
            </w:r>
            <w:proofErr w:type="spellEnd"/>
          </w:p>
        </w:tc>
        <w:tc>
          <w:tcPr>
            <w:tcW w:w="7336" w:type="dxa"/>
          </w:tcPr>
          <w:p w14:paraId="5A9CF066" w14:textId="77777777" w:rsidR="00DF3B1B" w:rsidRPr="00C83418" w:rsidRDefault="00DF3B1B" w:rsidP="00DF3B1B">
            <w:pPr>
              <w:spacing w:before="120" w:after="120"/>
              <w:rPr>
                <w:color w:val="000000" w:themeColor="text1"/>
                <w:lang w:val="en-US"/>
              </w:rPr>
            </w:pPr>
            <w:r w:rsidRPr="00C83418">
              <w:rPr>
                <w:color w:val="000000" w:themeColor="text1"/>
                <w:lang w:val="en-US"/>
              </w:rPr>
              <w:t>Solves demanding problems, also creatively, in research and/or innovation, which develop new knowledge and procedures</w:t>
            </w:r>
            <w:r w:rsidR="00B542F8" w:rsidRPr="00C83418">
              <w:rPr>
                <w:color w:val="000000" w:themeColor="text1"/>
                <w:lang w:val="en-US"/>
              </w:rPr>
              <w:t>,</w:t>
            </w:r>
            <w:r w:rsidRPr="00C83418">
              <w:rPr>
                <w:color w:val="000000" w:themeColor="text1"/>
                <w:lang w:val="en-US"/>
              </w:rPr>
              <w:t xml:space="preserve"> and applies and combines knowledge from various fields.</w:t>
            </w:r>
          </w:p>
        </w:tc>
      </w:tr>
      <w:tr w:rsidR="00DF3B1B" w:rsidRPr="00513E08" w14:paraId="168B82CF" w14:textId="77777777" w:rsidTr="00BD0B23">
        <w:tc>
          <w:tcPr>
            <w:tcW w:w="2410" w:type="dxa"/>
          </w:tcPr>
          <w:p w14:paraId="76A66203" w14:textId="77777777" w:rsidR="00DF3B1B" w:rsidRPr="00C83418" w:rsidRDefault="00B542F8" w:rsidP="00B542F8">
            <w:pPr>
              <w:spacing w:before="120"/>
              <w:rPr>
                <w:b/>
              </w:rPr>
            </w:pPr>
            <w:proofErr w:type="spellStart"/>
            <w:r w:rsidRPr="00C83418">
              <w:rPr>
                <w:b/>
              </w:rPr>
              <w:t>Responsibility</w:t>
            </w:r>
            <w:proofErr w:type="spellEnd"/>
            <w:r w:rsidRPr="00C83418">
              <w:rPr>
                <w:b/>
              </w:rPr>
              <w:t xml:space="preserve">, Management and </w:t>
            </w:r>
            <w:proofErr w:type="spellStart"/>
            <w:r w:rsidRPr="00C83418">
              <w:rPr>
                <w:b/>
              </w:rPr>
              <w:t>Entrepreneurship</w:t>
            </w:r>
            <w:proofErr w:type="spellEnd"/>
          </w:p>
        </w:tc>
        <w:tc>
          <w:tcPr>
            <w:tcW w:w="7336" w:type="dxa"/>
          </w:tcPr>
          <w:p w14:paraId="472CA95C" w14:textId="77777777" w:rsidR="00DF3B1B" w:rsidRPr="00C83418" w:rsidRDefault="00DF3B1B" w:rsidP="00DF3B1B">
            <w:pPr>
              <w:spacing w:before="120"/>
              <w:rPr>
                <w:color w:val="000000" w:themeColor="text1"/>
                <w:lang w:val="en-US"/>
              </w:rPr>
            </w:pPr>
            <w:r w:rsidRPr="00C83418">
              <w:rPr>
                <w:color w:val="000000" w:themeColor="text1"/>
                <w:lang w:val="en-US"/>
              </w:rPr>
              <w:t>Works independently in demanding expert tasks of the field and in international co-operation or as an entrepreneur.</w:t>
            </w:r>
          </w:p>
          <w:p w14:paraId="77369D83" w14:textId="77777777" w:rsidR="00DF3B1B" w:rsidRPr="00C83418" w:rsidRDefault="00DF3B1B" w:rsidP="00DF3B1B">
            <w:pPr>
              <w:rPr>
                <w:color w:val="000000" w:themeColor="text1"/>
                <w:lang w:val="en-US"/>
              </w:rPr>
            </w:pPr>
            <w:r w:rsidRPr="00C83418">
              <w:rPr>
                <w:color w:val="000000" w:themeColor="text1"/>
                <w:lang w:val="en-US"/>
              </w:rPr>
              <w:t>Manages and develops complex, unpredictable and new strategic approaches.</w:t>
            </w:r>
          </w:p>
          <w:p w14:paraId="0E7C3D72" w14:textId="77777777" w:rsidR="00DF3B1B" w:rsidRPr="00C83418" w:rsidRDefault="00DF3B1B" w:rsidP="00DF3B1B">
            <w:pPr>
              <w:spacing w:after="120"/>
              <w:rPr>
                <w:color w:val="000000" w:themeColor="text1"/>
                <w:lang w:val="en-US"/>
              </w:rPr>
            </w:pPr>
            <w:r w:rsidRPr="00C83418">
              <w:rPr>
                <w:color w:val="000000" w:themeColor="text1"/>
                <w:lang w:val="en-US"/>
              </w:rPr>
              <w:t>Manages things and/or people.</w:t>
            </w:r>
          </w:p>
        </w:tc>
      </w:tr>
      <w:tr w:rsidR="00DF3B1B" w:rsidRPr="00513E08" w14:paraId="567F3C12" w14:textId="77777777" w:rsidTr="00BD0B23">
        <w:tc>
          <w:tcPr>
            <w:tcW w:w="2410" w:type="dxa"/>
          </w:tcPr>
          <w:p w14:paraId="16D9E787" w14:textId="77777777" w:rsidR="00DF3B1B" w:rsidRPr="00C83418" w:rsidRDefault="00B542F8" w:rsidP="00B542F8">
            <w:pPr>
              <w:spacing w:before="120"/>
              <w:rPr>
                <w:b/>
                <w:color w:val="FFC000" w:themeColor="accent4"/>
              </w:rPr>
            </w:pPr>
            <w:r w:rsidRPr="00C83418">
              <w:rPr>
                <w:b/>
              </w:rPr>
              <w:t>Evaluation</w:t>
            </w:r>
          </w:p>
        </w:tc>
        <w:tc>
          <w:tcPr>
            <w:tcW w:w="7336" w:type="dxa"/>
          </w:tcPr>
          <w:p w14:paraId="0816C252" w14:textId="77777777" w:rsidR="00DF3B1B" w:rsidRPr="00C83418" w:rsidRDefault="00DF3B1B" w:rsidP="00DF3B1B">
            <w:pPr>
              <w:spacing w:before="120" w:after="120"/>
              <w:rPr>
                <w:color w:val="000000" w:themeColor="text1"/>
                <w:lang w:val="en-US"/>
              </w:rPr>
            </w:pPr>
            <w:r w:rsidRPr="00C83418">
              <w:rPr>
                <w:color w:val="000000" w:themeColor="text1"/>
                <w:lang w:val="en-US"/>
              </w:rPr>
              <w:t>Evaluates the activities of individuals and groups. Accumulates knowledge and practices in his/her field and/or takes responsibility for the development of others.</w:t>
            </w:r>
          </w:p>
        </w:tc>
      </w:tr>
      <w:tr w:rsidR="00DF3B1B" w:rsidRPr="00513E08" w14:paraId="4487C3C9" w14:textId="77777777" w:rsidTr="00BD0B23">
        <w:tc>
          <w:tcPr>
            <w:tcW w:w="2410" w:type="dxa"/>
          </w:tcPr>
          <w:p w14:paraId="5D6E3DCC" w14:textId="77777777" w:rsidR="00DF3B1B" w:rsidRPr="00C83418" w:rsidRDefault="00B542F8" w:rsidP="00B542F8">
            <w:pPr>
              <w:spacing w:before="120"/>
              <w:rPr>
                <w:b/>
                <w:lang w:val="en-US"/>
              </w:rPr>
            </w:pPr>
            <w:r w:rsidRPr="00C83418">
              <w:rPr>
                <w:b/>
                <w:lang w:val="en-US"/>
              </w:rPr>
              <w:t>Self-</w:t>
            </w:r>
            <w:proofErr w:type="spellStart"/>
            <w:r w:rsidRPr="00C83418">
              <w:rPr>
                <w:b/>
                <w:lang w:val="en-US"/>
              </w:rPr>
              <w:t>develoment</w:t>
            </w:r>
            <w:proofErr w:type="spellEnd"/>
            <w:r w:rsidRPr="00C83418">
              <w:rPr>
                <w:b/>
                <w:lang w:val="en-US"/>
              </w:rPr>
              <w:t xml:space="preserve"> and Lifelong Learning</w:t>
            </w:r>
          </w:p>
        </w:tc>
        <w:tc>
          <w:tcPr>
            <w:tcW w:w="7336" w:type="dxa"/>
          </w:tcPr>
          <w:p w14:paraId="682146ED" w14:textId="77777777" w:rsidR="00DF3B1B" w:rsidRPr="00C83418" w:rsidRDefault="00DF3B1B" w:rsidP="00DF3B1B">
            <w:pPr>
              <w:spacing w:before="120"/>
              <w:rPr>
                <w:color w:val="000000" w:themeColor="text1"/>
                <w:lang w:val="en-US"/>
              </w:rPr>
            </w:pPr>
            <w:r w:rsidRPr="00C83418">
              <w:rPr>
                <w:color w:val="000000" w:themeColor="text1"/>
                <w:lang w:val="en-US"/>
              </w:rPr>
              <w:t>Has the ability for lifelong learning.</w:t>
            </w:r>
          </w:p>
          <w:p w14:paraId="1436E4C8" w14:textId="77777777" w:rsidR="00DF3B1B" w:rsidRPr="00C83418" w:rsidRDefault="00DF3B1B" w:rsidP="00DF3B1B">
            <w:pPr>
              <w:rPr>
                <w:color w:val="000000" w:themeColor="text1"/>
                <w:lang w:val="en-US"/>
              </w:rPr>
            </w:pPr>
            <w:r w:rsidRPr="00C83418">
              <w:rPr>
                <w:color w:val="000000" w:themeColor="text1"/>
                <w:lang w:val="en-US"/>
              </w:rPr>
              <w:t>Considers communal and ethical aspects when dealing with different people in learning and working communities and other groups and networks.</w:t>
            </w:r>
          </w:p>
          <w:p w14:paraId="49758552" w14:textId="77777777" w:rsidR="00DF3B1B" w:rsidRPr="00C83418" w:rsidRDefault="00DF3B1B" w:rsidP="00DF3B1B">
            <w:pPr>
              <w:rPr>
                <w:color w:val="000000" w:themeColor="text1"/>
                <w:lang w:val="en-US"/>
              </w:rPr>
            </w:pPr>
            <w:r w:rsidRPr="00C83418">
              <w:rPr>
                <w:color w:val="000000" w:themeColor="text1"/>
                <w:lang w:val="en-US"/>
              </w:rPr>
              <w:t>Communicates to a good standard verbally and in writing in his/her mother tongue both to audiences in the field and outside it.</w:t>
            </w:r>
          </w:p>
          <w:p w14:paraId="7C28FCE8" w14:textId="77777777" w:rsidR="00DF3B1B" w:rsidRPr="00C83418" w:rsidRDefault="00DF3B1B" w:rsidP="00DF3B1B">
            <w:pPr>
              <w:spacing w:after="120"/>
              <w:rPr>
                <w:color w:val="000000" w:themeColor="text1"/>
                <w:lang w:val="en-US"/>
              </w:rPr>
            </w:pPr>
            <w:r w:rsidRPr="00C83418">
              <w:rPr>
                <w:color w:val="000000" w:themeColor="text1"/>
                <w:lang w:val="en-US"/>
              </w:rPr>
              <w:t>Communicates and interacts in the second national language and is capable of demanding international communication and interaction in his/her field in at least one foreign language.</w:t>
            </w:r>
          </w:p>
        </w:tc>
      </w:tr>
    </w:tbl>
    <w:p w14:paraId="4218DEA2" w14:textId="77777777" w:rsidR="00511C2E" w:rsidRPr="00DF3B1B" w:rsidRDefault="00511C2E" w:rsidP="00DF3B1B">
      <w:pPr>
        <w:rPr>
          <w:lang w:val="en-US"/>
        </w:rPr>
      </w:pPr>
    </w:p>
    <w:p w14:paraId="02EB378F" w14:textId="5CEA5051" w:rsidR="00B542F8" w:rsidRPr="00E4569B" w:rsidRDefault="00511C2E" w:rsidP="00DF3B1B">
      <w:r>
        <w:t>TYGL21SY_2</w:t>
      </w:r>
    </w:p>
    <w:tbl>
      <w:tblPr>
        <w:tblStyle w:val="TaulukkoRuudukko"/>
        <w:tblW w:w="8959"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97"/>
        <w:gridCol w:w="6662"/>
      </w:tblGrid>
      <w:tr w:rsidR="00DF3B1B" w:rsidRPr="00513E08" w14:paraId="69E19EA6" w14:textId="77777777" w:rsidTr="00C83418">
        <w:tc>
          <w:tcPr>
            <w:tcW w:w="2297" w:type="dxa"/>
            <w:shd w:val="clear" w:color="auto" w:fill="3CADC4"/>
          </w:tcPr>
          <w:p w14:paraId="258A51EC" w14:textId="77777777" w:rsidR="00DF3B1B" w:rsidRPr="00C83418" w:rsidRDefault="00DF3B1B" w:rsidP="00BD0B23">
            <w:pPr>
              <w:pStyle w:val="Kansilehdenotsikontarkenne"/>
              <w:rPr>
                <w:rFonts w:ascii="Tahoma" w:hAnsi="Tahoma" w:cs="Tahoma"/>
                <w:szCs w:val="20"/>
              </w:rPr>
            </w:pPr>
            <w:proofErr w:type="spellStart"/>
            <w:r w:rsidRPr="00C83418">
              <w:rPr>
                <w:rFonts w:ascii="Tahoma" w:hAnsi="Tahoma" w:cs="Tahoma"/>
                <w:szCs w:val="20"/>
              </w:rPr>
              <w:t>Generic</w:t>
            </w:r>
            <w:proofErr w:type="spellEnd"/>
            <w:r w:rsidRPr="00C83418">
              <w:rPr>
                <w:rFonts w:ascii="Tahoma" w:hAnsi="Tahoma" w:cs="Tahoma"/>
                <w:szCs w:val="20"/>
              </w:rPr>
              <w:t xml:space="preserve"> </w:t>
            </w:r>
            <w:proofErr w:type="spellStart"/>
            <w:r w:rsidRPr="00C83418">
              <w:rPr>
                <w:rFonts w:ascii="Tahoma" w:hAnsi="Tahoma" w:cs="Tahoma"/>
                <w:szCs w:val="20"/>
              </w:rPr>
              <w:t>c</w:t>
            </w:r>
            <w:r w:rsidR="00B542F8" w:rsidRPr="00C83418">
              <w:rPr>
                <w:rFonts w:ascii="Tahoma" w:hAnsi="Tahoma" w:cs="Tahoma"/>
                <w:szCs w:val="20"/>
              </w:rPr>
              <w:t>ompetences</w:t>
            </w:r>
            <w:proofErr w:type="spellEnd"/>
          </w:p>
        </w:tc>
        <w:tc>
          <w:tcPr>
            <w:tcW w:w="6662" w:type="dxa"/>
            <w:shd w:val="clear" w:color="auto" w:fill="3CADC4"/>
          </w:tcPr>
          <w:p w14:paraId="1C16A8C0" w14:textId="77777777" w:rsidR="00DF3B1B" w:rsidRPr="00C83418" w:rsidRDefault="00DF3B1B" w:rsidP="00B542F8">
            <w:pPr>
              <w:pStyle w:val="Kansilehdenotsikontarkenne"/>
              <w:rPr>
                <w:rFonts w:ascii="Tahoma" w:hAnsi="Tahoma" w:cs="Tahoma"/>
                <w:color w:val="FFC000" w:themeColor="accent4"/>
                <w:szCs w:val="20"/>
                <w:lang w:val="en-US"/>
              </w:rPr>
            </w:pPr>
            <w:r w:rsidRPr="00C83418">
              <w:rPr>
                <w:rFonts w:ascii="Tahoma" w:hAnsi="Tahoma" w:cs="Tahoma"/>
                <w:szCs w:val="20"/>
                <w:lang w:val="en-US"/>
              </w:rPr>
              <w:t>Description of the competence</w:t>
            </w:r>
            <w:r w:rsidR="00B542F8" w:rsidRPr="00C83418">
              <w:rPr>
                <w:rFonts w:ascii="Tahoma" w:hAnsi="Tahoma" w:cs="Tahoma"/>
                <w:szCs w:val="20"/>
                <w:lang w:val="en-US"/>
              </w:rPr>
              <w:t xml:space="preserve"> at level 7</w:t>
            </w:r>
          </w:p>
        </w:tc>
      </w:tr>
      <w:tr w:rsidR="00DF3B1B" w:rsidRPr="00513E08" w14:paraId="4E955D15" w14:textId="77777777" w:rsidTr="00C83418">
        <w:tc>
          <w:tcPr>
            <w:tcW w:w="2297" w:type="dxa"/>
          </w:tcPr>
          <w:p w14:paraId="11148C3B" w14:textId="77777777" w:rsidR="00DF3B1B" w:rsidRPr="00C83418" w:rsidRDefault="00C83418" w:rsidP="00C83418">
            <w:pPr>
              <w:spacing w:before="120"/>
              <w:rPr>
                <w:b/>
                <w:color w:val="FFC000" w:themeColor="accent4"/>
              </w:rPr>
            </w:pPr>
            <w:r w:rsidRPr="00C83418">
              <w:rPr>
                <w:b/>
              </w:rPr>
              <w:t xml:space="preserve">Learning </w:t>
            </w:r>
            <w:proofErr w:type="spellStart"/>
            <w:r w:rsidRPr="00C83418">
              <w:rPr>
                <w:b/>
              </w:rPr>
              <w:t>competence</w:t>
            </w:r>
            <w:proofErr w:type="spellEnd"/>
          </w:p>
        </w:tc>
        <w:tc>
          <w:tcPr>
            <w:tcW w:w="6662" w:type="dxa"/>
          </w:tcPr>
          <w:p w14:paraId="3DA37E7B" w14:textId="77777777" w:rsidR="00C83418" w:rsidRPr="00C83418" w:rsidRDefault="00C83418" w:rsidP="00C83418">
            <w:pPr>
              <w:autoSpaceDE w:val="0"/>
              <w:autoSpaceDN w:val="0"/>
              <w:adjustRightInd w:val="0"/>
              <w:spacing w:before="120"/>
              <w:jc w:val="both"/>
              <w:rPr>
                <w:bCs/>
                <w:lang w:val="en-GB"/>
              </w:rPr>
            </w:pPr>
            <w:r w:rsidRPr="00C83418">
              <w:rPr>
                <w:bCs/>
                <w:lang w:val="en-GB"/>
              </w:rPr>
              <w:t>- is able to self-evaluate and develop one’s expertise in a versatile and focused way</w:t>
            </w:r>
          </w:p>
          <w:p w14:paraId="3EBBFB78" w14:textId="77777777" w:rsidR="00C83418" w:rsidRPr="00C83418" w:rsidRDefault="00C83418" w:rsidP="00C83418">
            <w:pPr>
              <w:autoSpaceDE w:val="0"/>
              <w:autoSpaceDN w:val="0"/>
              <w:adjustRightInd w:val="0"/>
              <w:jc w:val="both"/>
              <w:rPr>
                <w:bCs/>
                <w:lang w:val="en-GB"/>
              </w:rPr>
            </w:pPr>
            <w:r w:rsidRPr="00C83418">
              <w:rPr>
                <w:bCs/>
                <w:lang w:val="en-GB"/>
              </w:rPr>
              <w:t>- is able to retrieve, analyse and produce information and evaluate it critically from the point of view of different fields</w:t>
            </w:r>
          </w:p>
          <w:p w14:paraId="2EEF5EB7" w14:textId="77777777" w:rsidR="00DF3B1B" w:rsidRPr="00C83418" w:rsidRDefault="00C83418" w:rsidP="00C83418">
            <w:pPr>
              <w:spacing w:after="120"/>
              <w:rPr>
                <w:color w:val="000000" w:themeColor="text1"/>
                <w:lang w:val="en-US"/>
              </w:rPr>
            </w:pPr>
            <w:r w:rsidRPr="00C83418">
              <w:rPr>
                <w:bCs/>
                <w:lang w:val="en-GB"/>
              </w:rPr>
              <w:t>- is capable of taking responsibility for collaborative learning in a target-oriented way</w:t>
            </w:r>
          </w:p>
        </w:tc>
      </w:tr>
      <w:tr w:rsidR="00C83418" w:rsidRPr="00513E08" w14:paraId="1E5C1A16" w14:textId="77777777" w:rsidTr="00C83418">
        <w:tc>
          <w:tcPr>
            <w:tcW w:w="2297" w:type="dxa"/>
          </w:tcPr>
          <w:p w14:paraId="38414835" w14:textId="77777777" w:rsidR="00C83418" w:rsidRPr="00C83418" w:rsidRDefault="00C83418" w:rsidP="00C83418">
            <w:pPr>
              <w:spacing w:before="120"/>
              <w:rPr>
                <w:b/>
                <w:color w:val="FFC000" w:themeColor="accent4"/>
              </w:rPr>
            </w:pPr>
            <w:proofErr w:type="spellStart"/>
            <w:r w:rsidRPr="00C83418">
              <w:rPr>
                <w:b/>
              </w:rPr>
              <w:t>Ethical</w:t>
            </w:r>
            <w:proofErr w:type="spellEnd"/>
            <w:r w:rsidRPr="00C83418">
              <w:rPr>
                <w:b/>
              </w:rPr>
              <w:t xml:space="preserve"> </w:t>
            </w:r>
            <w:proofErr w:type="spellStart"/>
            <w:r w:rsidRPr="00C83418">
              <w:rPr>
                <w:b/>
              </w:rPr>
              <w:t>competence</w:t>
            </w:r>
            <w:proofErr w:type="spellEnd"/>
          </w:p>
        </w:tc>
        <w:tc>
          <w:tcPr>
            <w:tcW w:w="6662" w:type="dxa"/>
          </w:tcPr>
          <w:p w14:paraId="1CEF8E54" w14:textId="77777777" w:rsidR="00C83418" w:rsidRPr="00C83418" w:rsidRDefault="00C83418" w:rsidP="00C83418">
            <w:pPr>
              <w:autoSpaceDE w:val="0"/>
              <w:autoSpaceDN w:val="0"/>
              <w:adjustRightInd w:val="0"/>
              <w:spacing w:before="120"/>
              <w:jc w:val="both"/>
              <w:rPr>
                <w:bCs/>
                <w:lang w:val="en-GB"/>
              </w:rPr>
            </w:pPr>
            <w:r w:rsidRPr="00C83418">
              <w:rPr>
                <w:bCs/>
                <w:lang w:val="en-GB"/>
              </w:rPr>
              <w:t>- is able to take responsibility for the actions of a community and for the consequences of these actions</w:t>
            </w:r>
          </w:p>
          <w:p w14:paraId="0CD9C006" w14:textId="77777777" w:rsidR="00C83418" w:rsidRPr="00C83418" w:rsidRDefault="00C83418" w:rsidP="00C83418">
            <w:pPr>
              <w:autoSpaceDE w:val="0"/>
              <w:autoSpaceDN w:val="0"/>
              <w:adjustRightInd w:val="0"/>
              <w:jc w:val="both"/>
              <w:rPr>
                <w:bCs/>
                <w:lang w:val="en-GB"/>
              </w:rPr>
            </w:pPr>
            <w:r w:rsidRPr="00C83418">
              <w:rPr>
                <w:bCs/>
                <w:lang w:val="en-GB"/>
              </w:rPr>
              <w:t>- is able to apply the ethical principles of the subject field as an expert and as a developer of working life</w:t>
            </w:r>
          </w:p>
          <w:p w14:paraId="55DB686B" w14:textId="77777777" w:rsidR="00C83418" w:rsidRPr="00C83418" w:rsidRDefault="00C83418" w:rsidP="00C83418">
            <w:pPr>
              <w:autoSpaceDE w:val="0"/>
              <w:autoSpaceDN w:val="0"/>
              <w:adjustRightInd w:val="0"/>
              <w:jc w:val="both"/>
              <w:rPr>
                <w:bCs/>
                <w:lang w:val="en-GB"/>
              </w:rPr>
            </w:pPr>
            <w:r w:rsidRPr="00C83418">
              <w:rPr>
                <w:bCs/>
                <w:lang w:val="en-GB"/>
              </w:rPr>
              <w:t>- is able to make decisions considering an individual and the community</w:t>
            </w:r>
          </w:p>
          <w:p w14:paraId="07229700" w14:textId="77777777" w:rsidR="00C83418" w:rsidRPr="00C83418" w:rsidRDefault="00C83418" w:rsidP="00C83418">
            <w:pPr>
              <w:autoSpaceDE w:val="0"/>
              <w:autoSpaceDN w:val="0"/>
              <w:adjustRightInd w:val="0"/>
              <w:jc w:val="both"/>
              <w:rPr>
                <w:bCs/>
                <w:lang w:val="en-GB"/>
              </w:rPr>
            </w:pPr>
            <w:r w:rsidRPr="00C83418">
              <w:rPr>
                <w:bCs/>
                <w:lang w:val="en-GB"/>
              </w:rPr>
              <w:t>- is able to contribute to the principles of equality in working life</w:t>
            </w:r>
          </w:p>
          <w:p w14:paraId="73E6D136" w14:textId="77777777" w:rsidR="00C83418" w:rsidRPr="00C83418" w:rsidRDefault="00C83418" w:rsidP="00C83418">
            <w:pPr>
              <w:autoSpaceDE w:val="0"/>
              <w:autoSpaceDN w:val="0"/>
              <w:adjustRightInd w:val="0"/>
              <w:jc w:val="both"/>
              <w:rPr>
                <w:bCs/>
                <w:lang w:val="en-GB"/>
              </w:rPr>
            </w:pPr>
            <w:r w:rsidRPr="00C83418">
              <w:rPr>
                <w:bCs/>
                <w:lang w:val="en-GB"/>
              </w:rPr>
              <w:lastRenderedPageBreak/>
              <w:t>- is able to contribute to the principles of sustainable development and social responsibility</w:t>
            </w:r>
          </w:p>
          <w:p w14:paraId="52D6C2E9" w14:textId="77777777" w:rsidR="00C83418" w:rsidRPr="00C83418" w:rsidRDefault="00C83418" w:rsidP="00C83418">
            <w:pPr>
              <w:autoSpaceDE w:val="0"/>
              <w:autoSpaceDN w:val="0"/>
              <w:adjustRightInd w:val="0"/>
              <w:spacing w:after="120"/>
              <w:jc w:val="both"/>
              <w:rPr>
                <w:bCs/>
                <w:lang w:val="en-GB"/>
              </w:rPr>
            </w:pPr>
            <w:r w:rsidRPr="00C83418">
              <w:rPr>
                <w:bCs/>
                <w:lang w:val="en-GB"/>
              </w:rPr>
              <w:t>- is capable of leading socially influential activities based on ethical values</w:t>
            </w:r>
          </w:p>
        </w:tc>
      </w:tr>
      <w:tr w:rsidR="00C83418" w:rsidRPr="00513E08" w14:paraId="2DAA587B" w14:textId="77777777" w:rsidTr="00C83418">
        <w:tc>
          <w:tcPr>
            <w:tcW w:w="2297" w:type="dxa"/>
          </w:tcPr>
          <w:p w14:paraId="1775A9DA" w14:textId="77777777" w:rsidR="00C83418" w:rsidRPr="00C83418" w:rsidRDefault="00C83418" w:rsidP="00C83418">
            <w:pPr>
              <w:spacing w:before="120"/>
              <w:rPr>
                <w:b/>
                <w:color w:val="FFC000" w:themeColor="accent4"/>
                <w:lang w:val="en-US"/>
              </w:rPr>
            </w:pPr>
            <w:r w:rsidRPr="00C83418">
              <w:rPr>
                <w:b/>
                <w:lang w:val="en-US"/>
              </w:rPr>
              <w:lastRenderedPageBreak/>
              <w:t xml:space="preserve">Working community </w:t>
            </w:r>
            <w:r w:rsidRPr="00C83418">
              <w:rPr>
                <w:b/>
                <w:lang w:val="en-US"/>
              </w:rPr>
              <w:br/>
              <w:t>competence</w:t>
            </w:r>
          </w:p>
        </w:tc>
        <w:tc>
          <w:tcPr>
            <w:tcW w:w="6662" w:type="dxa"/>
          </w:tcPr>
          <w:p w14:paraId="6BF8B0C9" w14:textId="77777777" w:rsidR="00C83418" w:rsidRPr="00C83418" w:rsidRDefault="00C83418" w:rsidP="00C83418">
            <w:pPr>
              <w:autoSpaceDE w:val="0"/>
              <w:autoSpaceDN w:val="0"/>
              <w:adjustRightInd w:val="0"/>
              <w:spacing w:before="120"/>
              <w:jc w:val="both"/>
              <w:rPr>
                <w:bCs/>
                <w:lang w:val="en-GB"/>
              </w:rPr>
            </w:pPr>
            <w:r w:rsidRPr="00C83418">
              <w:rPr>
                <w:bCs/>
                <w:lang w:val="en-GB"/>
              </w:rPr>
              <w:t>- is able to develop the operations of a work community</w:t>
            </w:r>
          </w:p>
          <w:p w14:paraId="5B357770" w14:textId="77777777" w:rsidR="00C83418" w:rsidRPr="00C83418" w:rsidRDefault="00C83418" w:rsidP="00C83418">
            <w:pPr>
              <w:autoSpaceDE w:val="0"/>
              <w:autoSpaceDN w:val="0"/>
              <w:adjustRightInd w:val="0"/>
              <w:jc w:val="both"/>
              <w:rPr>
                <w:bCs/>
                <w:lang w:val="en-GB"/>
              </w:rPr>
            </w:pPr>
            <w:r w:rsidRPr="00C83418">
              <w:rPr>
                <w:bCs/>
                <w:lang w:val="en-GB"/>
              </w:rPr>
              <w:t>- is able to develop multidisciplinary communication and interaction in working life</w:t>
            </w:r>
          </w:p>
          <w:p w14:paraId="6091C984" w14:textId="77777777" w:rsidR="00C83418" w:rsidRPr="00C83418" w:rsidRDefault="00C83418" w:rsidP="00C83418">
            <w:pPr>
              <w:autoSpaceDE w:val="0"/>
              <w:autoSpaceDN w:val="0"/>
              <w:adjustRightInd w:val="0"/>
              <w:jc w:val="both"/>
              <w:rPr>
                <w:bCs/>
                <w:lang w:val="en-GB"/>
              </w:rPr>
            </w:pPr>
            <w:r w:rsidRPr="00C83418">
              <w:rPr>
                <w:bCs/>
                <w:lang w:val="en-GB"/>
              </w:rPr>
              <w:t>- is able to utilize ICT in one’s work</w:t>
            </w:r>
          </w:p>
          <w:p w14:paraId="421566E6" w14:textId="77777777" w:rsidR="00C83418" w:rsidRPr="00C83418" w:rsidRDefault="00C83418" w:rsidP="00C83418">
            <w:pPr>
              <w:autoSpaceDE w:val="0"/>
              <w:autoSpaceDN w:val="0"/>
              <w:adjustRightInd w:val="0"/>
              <w:jc w:val="both"/>
              <w:rPr>
                <w:bCs/>
                <w:lang w:val="en-GB"/>
              </w:rPr>
            </w:pPr>
            <w:r w:rsidRPr="00C83418">
              <w:rPr>
                <w:bCs/>
                <w:lang w:val="en-GB"/>
              </w:rPr>
              <w:t>- is able to create networks and partnerships</w:t>
            </w:r>
          </w:p>
          <w:p w14:paraId="2A32A557" w14:textId="77777777" w:rsidR="00C83418" w:rsidRPr="00C83418" w:rsidRDefault="00C83418" w:rsidP="00C83418">
            <w:pPr>
              <w:autoSpaceDE w:val="0"/>
              <w:autoSpaceDN w:val="0"/>
              <w:adjustRightInd w:val="0"/>
              <w:jc w:val="both"/>
              <w:rPr>
                <w:bCs/>
                <w:lang w:val="en-GB"/>
              </w:rPr>
            </w:pPr>
            <w:r w:rsidRPr="00C83418">
              <w:rPr>
                <w:bCs/>
                <w:lang w:val="en-GB"/>
              </w:rPr>
              <w:t>- is capable of management and supervision tasks and is able to improve activities in complicated and unpredictable environments</w:t>
            </w:r>
          </w:p>
          <w:p w14:paraId="3BC31E7C" w14:textId="77777777" w:rsidR="00C83418" w:rsidRPr="00C83418" w:rsidRDefault="00C83418" w:rsidP="00C83418">
            <w:pPr>
              <w:spacing w:after="120"/>
              <w:rPr>
                <w:color w:val="000000" w:themeColor="text1"/>
                <w:lang w:val="en-US"/>
              </w:rPr>
            </w:pPr>
            <w:r w:rsidRPr="00C83418">
              <w:rPr>
                <w:bCs/>
                <w:lang w:val="en-GB"/>
              </w:rPr>
              <w:t>- is able to work as an expert or entrepreneur and has abilities for management and supervision tasks</w:t>
            </w:r>
          </w:p>
        </w:tc>
      </w:tr>
      <w:tr w:rsidR="00C83418" w:rsidRPr="00513E08" w14:paraId="2CEC4B42" w14:textId="77777777" w:rsidTr="00C83418">
        <w:tc>
          <w:tcPr>
            <w:tcW w:w="2297" w:type="dxa"/>
          </w:tcPr>
          <w:p w14:paraId="74552C30" w14:textId="77777777" w:rsidR="00C83418" w:rsidRPr="00C83418" w:rsidRDefault="00C83418" w:rsidP="00C83418">
            <w:pPr>
              <w:spacing w:before="120"/>
              <w:rPr>
                <w:b/>
                <w:color w:val="FFC000" w:themeColor="accent4"/>
              </w:rPr>
            </w:pPr>
            <w:r w:rsidRPr="00C83418">
              <w:rPr>
                <w:b/>
              </w:rPr>
              <w:t xml:space="preserve">Innovation </w:t>
            </w:r>
            <w:proofErr w:type="spellStart"/>
            <w:r w:rsidRPr="00C83418">
              <w:rPr>
                <w:b/>
              </w:rPr>
              <w:t>competence</w:t>
            </w:r>
            <w:proofErr w:type="spellEnd"/>
          </w:p>
        </w:tc>
        <w:tc>
          <w:tcPr>
            <w:tcW w:w="6662" w:type="dxa"/>
          </w:tcPr>
          <w:p w14:paraId="784D31A8" w14:textId="77777777" w:rsidR="00C83418" w:rsidRPr="00C83418" w:rsidRDefault="00C83418" w:rsidP="00C83418">
            <w:pPr>
              <w:autoSpaceDE w:val="0"/>
              <w:autoSpaceDN w:val="0"/>
              <w:adjustRightInd w:val="0"/>
              <w:spacing w:before="120"/>
              <w:jc w:val="both"/>
              <w:rPr>
                <w:bCs/>
                <w:lang w:val="en-GB"/>
              </w:rPr>
            </w:pPr>
            <w:r w:rsidRPr="00C83418">
              <w:rPr>
                <w:bCs/>
                <w:lang w:val="en-GB"/>
              </w:rPr>
              <w:t>- is able to manage research, development and innovation projects and masters the methods of research and development work</w:t>
            </w:r>
          </w:p>
          <w:p w14:paraId="23EA7394" w14:textId="77777777" w:rsidR="00C83418" w:rsidRPr="00C83418" w:rsidRDefault="00C83418" w:rsidP="00C83418">
            <w:pPr>
              <w:autoSpaceDE w:val="0"/>
              <w:autoSpaceDN w:val="0"/>
              <w:adjustRightInd w:val="0"/>
              <w:jc w:val="both"/>
              <w:rPr>
                <w:bCs/>
                <w:lang w:val="en-GB"/>
              </w:rPr>
            </w:pPr>
            <w:r w:rsidRPr="00C83418">
              <w:rPr>
                <w:bCs/>
                <w:lang w:val="en-GB"/>
              </w:rPr>
              <w:t>- is able to create new information and improve working methods by combining expertise from different fields</w:t>
            </w:r>
          </w:p>
          <w:p w14:paraId="04B3A40D" w14:textId="77777777" w:rsidR="00C83418" w:rsidRPr="00C83418" w:rsidRDefault="00C83418" w:rsidP="00C83418">
            <w:pPr>
              <w:spacing w:after="120"/>
              <w:rPr>
                <w:color w:val="000000" w:themeColor="text1"/>
                <w:lang w:val="en-US"/>
              </w:rPr>
            </w:pPr>
            <w:r w:rsidRPr="00C83418">
              <w:rPr>
                <w:bCs/>
                <w:lang w:val="en-GB"/>
              </w:rPr>
              <w:t>- is able to develop service user-oriented, sustainable and profitable solutions</w:t>
            </w:r>
          </w:p>
        </w:tc>
      </w:tr>
      <w:tr w:rsidR="00C83418" w:rsidRPr="00513E08" w14:paraId="752B688C" w14:textId="77777777" w:rsidTr="00C83418">
        <w:tc>
          <w:tcPr>
            <w:tcW w:w="2297" w:type="dxa"/>
          </w:tcPr>
          <w:p w14:paraId="3EFC426D" w14:textId="77777777" w:rsidR="00C83418" w:rsidRPr="00C83418" w:rsidRDefault="00C83418" w:rsidP="00C83418">
            <w:pPr>
              <w:spacing w:before="120"/>
              <w:rPr>
                <w:b/>
              </w:rPr>
            </w:pPr>
            <w:r w:rsidRPr="00C83418">
              <w:rPr>
                <w:b/>
              </w:rPr>
              <w:t xml:space="preserve">International </w:t>
            </w:r>
            <w:proofErr w:type="spellStart"/>
            <w:r w:rsidRPr="00C83418">
              <w:rPr>
                <w:b/>
              </w:rPr>
              <w:t>competence</w:t>
            </w:r>
            <w:proofErr w:type="spellEnd"/>
          </w:p>
        </w:tc>
        <w:tc>
          <w:tcPr>
            <w:tcW w:w="6662" w:type="dxa"/>
          </w:tcPr>
          <w:p w14:paraId="13760E2B" w14:textId="77777777" w:rsidR="00C83418" w:rsidRPr="00C83418" w:rsidRDefault="00C83418" w:rsidP="00C83418">
            <w:pPr>
              <w:autoSpaceDE w:val="0"/>
              <w:autoSpaceDN w:val="0"/>
              <w:adjustRightInd w:val="0"/>
              <w:spacing w:before="120"/>
              <w:jc w:val="both"/>
              <w:rPr>
                <w:bCs/>
                <w:lang w:val="en-GB"/>
              </w:rPr>
            </w:pPr>
            <w:r w:rsidRPr="00C83418">
              <w:rPr>
                <w:bCs/>
                <w:lang w:val="en-GB"/>
              </w:rPr>
              <w:t>- is capable of international communication in one’s work and in the development of operations</w:t>
            </w:r>
          </w:p>
          <w:p w14:paraId="78ABA612" w14:textId="77777777" w:rsidR="00C83418" w:rsidRPr="00C83418" w:rsidRDefault="00C83418" w:rsidP="00C83418">
            <w:pPr>
              <w:autoSpaceDE w:val="0"/>
              <w:autoSpaceDN w:val="0"/>
              <w:adjustRightInd w:val="0"/>
              <w:jc w:val="both"/>
              <w:rPr>
                <w:bCs/>
                <w:lang w:val="en-GB"/>
              </w:rPr>
            </w:pPr>
            <w:r w:rsidRPr="00C83418">
              <w:rPr>
                <w:bCs/>
                <w:lang w:val="en-GB"/>
              </w:rPr>
              <w:t>- is able to operate in international environments</w:t>
            </w:r>
          </w:p>
          <w:p w14:paraId="3EF3C6E0" w14:textId="77777777" w:rsidR="00C83418" w:rsidRPr="00C83418" w:rsidRDefault="00C83418" w:rsidP="00C83418">
            <w:pPr>
              <w:autoSpaceDE w:val="0"/>
              <w:autoSpaceDN w:val="0"/>
              <w:adjustRightInd w:val="0"/>
              <w:spacing w:after="120"/>
              <w:jc w:val="both"/>
              <w:rPr>
                <w:bCs/>
                <w:lang w:val="en-GB"/>
              </w:rPr>
            </w:pPr>
            <w:r w:rsidRPr="00C83418">
              <w:rPr>
                <w:bCs/>
                <w:lang w:val="en-GB"/>
              </w:rPr>
              <w:t>- is able to predict the effects of and opportunities for internationalization development in one’s own field</w:t>
            </w:r>
          </w:p>
        </w:tc>
      </w:tr>
    </w:tbl>
    <w:p w14:paraId="6A05A809" w14:textId="77777777" w:rsidR="00DF3B1B" w:rsidRPr="00C83418" w:rsidRDefault="00DF3B1B" w:rsidP="00C83418">
      <w:pPr>
        <w:spacing w:after="0"/>
        <w:ind w:firstLine="1304"/>
        <w:rPr>
          <w:lang w:val="en-US"/>
        </w:rPr>
      </w:pPr>
    </w:p>
    <w:p w14:paraId="5A39BBE3" w14:textId="4A9C0D13" w:rsidR="00DF3B1B" w:rsidRPr="0035076A" w:rsidRDefault="00B7730F" w:rsidP="00C83418">
      <w:pPr>
        <w:rPr>
          <w:lang w:val="en-US"/>
        </w:rPr>
      </w:pPr>
      <w:r>
        <w:rPr>
          <w:lang w:val="en-US"/>
        </w:rPr>
        <w:t>TYGL21SY_3</w:t>
      </w:r>
    </w:p>
    <w:tbl>
      <w:tblPr>
        <w:tblStyle w:val="TaulukkoRuudukko"/>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97"/>
        <w:gridCol w:w="6611"/>
      </w:tblGrid>
      <w:tr w:rsidR="00DF3B1B" w:rsidRPr="00513E08" w14:paraId="5C927CF4" w14:textId="77777777" w:rsidTr="00511C2E">
        <w:tc>
          <w:tcPr>
            <w:tcW w:w="2297" w:type="dxa"/>
            <w:shd w:val="clear" w:color="auto" w:fill="3CADC4"/>
          </w:tcPr>
          <w:p w14:paraId="12172AC1" w14:textId="77777777" w:rsidR="00DF3B1B" w:rsidRPr="00886725" w:rsidRDefault="00A77E94" w:rsidP="00BD0B23">
            <w:pPr>
              <w:pStyle w:val="Kansilehdenotsikontarkenne"/>
              <w:rPr>
                <w:rFonts w:cstheme="majorHAnsi"/>
                <w:szCs w:val="20"/>
              </w:rPr>
            </w:pPr>
            <w:proofErr w:type="spellStart"/>
            <w:r w:rsidRPr="00513E08">
              <w:rPr>
                <w:rFonts w:ascii="Tahoma" w:hAnsi="Tahoma" w:cs="Tahoma"/>
                <w:szCs w:val="20"/>
                <w:lang w:val="en-US"/>
              </w:rPr>
              <w:t>Field</w:t>
            </w:r>
            <w:proofErr w:type="spellEnd"/>
            <w:r w:rsidRPr="00513E08">
              <w:rPr>
                <w:rFonts w:ascii="Tahoma" w:hAnsi="Tahoma" w:cs="Tahoma"/>
                <w:szCs w:val="20"/>
                <w:lang w:val="en-US"/>
              </w:rPr>
              <w:t xml:space="preserve"> </w:t>
            </w:r>
            <w:proofErr w:type="spellStart"/>
            <w:r w:rsidRPr="00513E08">
              <w:rPr>
                <w:rFonts w:ascii="Tahoma" w:hAnsi="Tahoma" w:cs="Tahoma"/>
                <w:szCs w:val="20"/>
                <w:lang w:val="en-US"/>
              </w:rPr>
              <w:t>specific</w:t>
            </w:r>
            <w:proofErr w:type="spellEnd"/>
            <w:r w:rsidRPr="00513E08">
              <w:rPr>
                <w:rFonts w:ascii="Tahoma" w:hAnsi="Tahoma" w:cs="Tahoma"/>
                <w:szCs w:val="20"/>
                <w:lang w:val="en-US"/>
              </w:rPr>
              <w:t xml:space="preserve"> </w:t>
            </w:r>
            <w:proofErr w:type="spellStart"/>
            <w:r w:rsidRPr="00513E08">
              <w:rPr>
                <w:rFonts w:ascii="Tahoma" w:hAnsi="Tahoma" w:cs="Tahoma"/>
                <w:szCs w:val="20"/>
                <w:lang w:val="en-US"/>
              </w:rPr>
              <w:t>competences</w:t>
            </w:r>
            <w:proofErr w:type="spellEnd"/>
          </w:p>
        </w:tc>
        <w:tc>
          <w:tcPr>
            <w:tcW w:w="6611" w:type="dxa"/>
            <w:shd w:val="clear" w:color="auto" w:fill="3CADC4"/>
          </w:tcPr>
          <w:p w14:paraId="3C175833" w14:textId="77777777" w:rsidR="00DF3B1B" w:rsidRPr="00A77E94" w:rsidRDefault="00A77E94" w:rsidP="00BD0B23">
            <w:pPr>
              <w:pStyle w:val="Kansilehdenotsikontarkenne"/>
              <w:rPr>
                <w:rFonts w:cstheme="majorHAnsi"/>
                <w:snapToGrid w:val="0"/>
                <w:szCs w:val="20"/>
                <w:lang w:val="en-US"/>
              </w:rPr>
            </w:pPr>
            <w:r w:rsidRPr="00513E08">
              <w:rPr>
                <w:rFonts w:ascii="Tahoma" w:hAnsi="Tahoma" w:cs="Tahoma"/>
                <w:szCs w:val="20"/>
                <w:lang w:val="en-US"/>
              </w:rPr>
              <w:t>Description of the competence at level 7 (Master level)</w:t>
            </w:r>
          </w:p>
        </w:tc>
        <w:bookmarkStart w:id="0" w:name="_GoBack"/>
        <w:bookmarkEnd w:id="0"/>
      </w:tr>
      <w:tr w:rsidR="00DF3B1B" w:rsidRPr="00513E08" w14:paraId="41C8F396" w14:textId="77777777" w:rsidTr="00511C2E">
        <w:tc>
          <w:tcPr>
            <w:tcW w:w="2297" w:type="dxa"/>
          </w:tcPr>
          <w:p w14:paraId="72A3D3EC" w14:textId="4D1A54D6" w:rsidR="00DF3B1B" w:rsidRPr="00B537B4" w:rsidRDefault="00511C2E" w:rsidP="00BD0B23">
            <w:pPr>
              <w:spacing w:before="120" w:after="120"/>
              <w:rPr>
                <w:rFonts w:asciiTheme="majorHAnsi" w:hAnsiTheme="majorHAnsi" w:cstheme="majorHAnsi"/>
                <w:color w:val="FFC000" w:themeColor="accent4"/>
                <w:lang w:val="en-US"/>
              </w:rPr>
            </w:pPr>
            <w:r w:rsidRPr="000C49EA">
              <w:rPr>
                <w:b/>
                <w:bCs/>
                <w:lang w:val="en-GB"/>
              </w:rPr>
              <w:t>Global public health promotion competence</w:t>
            </w:r>
          </w:p>
        </w:tc>
        <w:tc>
          <w:tcPr>
            <w:tcW w:w="6611" w:type="dxa"/>
          </w:tcPr>
          <w:p w14:paraId="3C41DC17" w14:textId="77777777" w:rsidR="008C2C7F" w:rsidRPr="008C2C7F" w:rsidRDefault="008C2C7F" w:rsidP="008C2C7F">
            <w:pPr>
              <w:autoSpaceDE w:val="0"/>
              <w:autoSpaceDN w:val="0"/>
              <w:adjustRightInd w:val="0"/>
              <w:spacing w:before="120"/>
              <w:jc w:val="both"/>
              <w:rPr>
                <w:bCs/>
                <w:lang w:val="en-GB"/>
              </w:rPr>
            </w:pPr>
            <w:r w:rsidRPr="008C2C7F">
              <w:rPr>
                <w:bCs/>
                <w:lang w:val="en-GB"/>
              </w:rPr>
              <w:t>- understands the principles of global public health</w:t>
            </w:r>
          </w:p>
          <w:p w14:paraId="45A53952" w14:textId="77777777" w:rsidR="008C2C7F" w:rsidRPr="008C2C7F" w:rsidRDefault="008C2C7F" w:rsidP="008C2C7F">
            <w:pPr>
              <w:autoSpaceDE w:val="0"/>
              <w:autoSpaceDN w:val="0"/>
              <w:adjustRightInd w:val="0"/>
              <w:jc w:val="both"/>
              <w:rPr>
                <w:bCs/>
                <w:lang w:val="en-GB"/>
              </w:rPr>
            </w:pPr>
            <w:r w:rsidRPr="008C2C7F">
              <w:rPr>
                <w:bCs/>
                <w:lang w:val="en-GB"/>
              </w:rPr>
              <w:t xml:space="preserve">- understands the importance of planning and strategic thinking as a resource for building both professional and citizen-centric global public health promotion  </w:t>
            </w:r>
          </w:p>
          <w:p w14:paraId="6E94C5E5" w14:textId="77777777" w:rsidR="008C2C7F" w:rsidRPr="008C2C7F" w:rsidRDefault="008C2C7F" w:rsidP="008C2C7F">
            <w:pPr>
              <w:autoSpaceDE w:val="0"/>
              <w:autoSpaceDN w:val="0"/>
              <w:adjustRightInd w:val="0"/>
              <w:jc w:val="both"/>
              <w:rPr>
                <w:bCs/>
                <w:lang w:val="en-GB"/>
              </w:rPr>
            </w:pPr>
            <w:r w:rsidRPr="008C2C7F">
              <w:rPr>
                <w:bCs/>
                <w:lang w:val="en-GB"/>
              </w:rPr>
              <w:t xml:space="preserve">- utilises principles of health literacy </w:t>
            </w:r>
          </w:p>
          <w:p w14:paraId="5C78CA7D" w14:textId="77777777" w:rsidR="008C2C7F" w:rsidRPr="008C2C7F" w:rsidRDefault="008C2C7F" w:rsidP="008C2C7F">
            <w:pPr>
              <w:autoSpaceDE w:val="0"/>
              <w:autoSpaceDN w:val="0"/>
              <w:adjustRightInd w:val="0"/>
              <w:jc w:val="both"/>
              <w:rPr>
                <w:bCs/>
                <w:lang w:val="en-GB"/>
              </w:rPr>
            </w:pPr>
            <w:r w:rsidRPr="008C2C7F">
              <w:rPr>
                <w:bCs/>
                <w:lang w:val="en-GB"/>
              </w:rPr>
              <w:t xml:space="preserve">- is able to apply safe evidence-based information and advanced solutions for better health and wellbeing </w:t>
            </w:r>
          </w:p>
          <w:p w14:paraId="0D0B940D" w14:textId="20FD179F" w:rsidR="00DF3B1B" w:rsidRPr="00511C2E" w:rsidRDefault="008C2C7F" w:rsidP="008C2C7F">
            <w:pPr>
              <w:autoSpaceDE w:val="0"/>
              <w:autoSpaceDN w:val="0"/>
              <w:adjustRightInd w:val="0"/>
              <w:spacing w:after="120"/>
              <w:jc w:val="both"/>
              <w:rPr>
                <w:rFonts w:asciiTheme="majorHAnsi" w:hAnsiTheme="majorHAnsi" w:cstheme="majorHAnsi"/>
                <w:lang w:val="en-US"/>
              </w:rPr>
            </w:pPr>
            <w:r w:rsidRPr="008C2C7F">
              <w:rPr>
                <w:bCs/>
                <w:lang w:val="en-GB"/>
              </w:rPr>
              <w:t>- is able to manage processes of change needed in advanced global public health</w:t>
            </w:r>
          </w:p>
        </w:tc>
      </w:tr>
      <w:tr w:rsidR="00DF3B1B" w:rsidRPr="00513E08" w14:paraId="0E27B00A" w14:textId="77777777" w:rsidTr="00511C2E">
        <w:tc>
          <w:tcPr>
            <w:tcW w:w="2297" w:type="dxa"/>
          </w:tcPr>
          <w:p w14:paraId="60061E4C" w14:textId="2708332D" w:rsidR="00DF3B1B" w:rsidRPr="00B7730F" w:rsidRDefault="00511C2E" w:rsidP="00B7730F">
            <w:pPr>
              <w:autoSpaceDE w:val="0"/>
              <w:autoSpaceDN w:val="0"/>
              <w:adjustRightInd w:val="0"/>
              <w:spacing w:before="120"/>
              <w:rPr>
                <w:bCs/>
                <w:lang w:val="en-GB"/>
              </w:rPr>
            </w:pPr>
            <w:r w:rsidRPr="00B7730F">
              <w:rPr>
                <w:b/>
                <w:bCs/>
                <w:lang w:val="en-GB"/>
              </w:rPr>
              <w:t>Sustainable global health competence</w:t>
            </w:r>
          </w:p>
        </w:tc>
        <w:tc>
          <w:tcPr>
            <w:tcW w:w="6611" w:type="dxa"/>
          </w:tcPr>
          <w:p w14:paraId="55959389" w14:textId="77777777" w:rsidR="00B7730F" w:rsidRPr="00B7730F" w:rsidRDefault="00B7730F" w:rsidP="00B7730F">
            <w:pPr>
              <w:autoSpaceDE w:val="0"/>
              <w:autoSpaceDN w:val="0"/>
              <w:adjustRightInd w:val="0"/>
              <w:spacing w:before="120"/>
              <w:jc w:val="both"/>
              <w:rPr>
                <w:bCs/>
                <w:lang w:val="en-GB"/>
              </w:rPr>
            </w:pPr>
            <w:r w:rsidRPr="00B7730F">
              <w:rPr>
                <w:bCs/>
                <w:lang w:val="en-GB"/>
              </w:rPr>
              <w:t>- is able to evaluate and develop sustainable global public health in accordance with HS and One Health principles in multidisciplinary network</w:t>
            </w:r>
          </w:p>
          <w:p w14:paraId="6649DCD6" w14:textId="77777777" w:rsidR="00B7730F" w:rsidRPr="00B7730F" w:rsidRDefault="00B7730F" w:rsidP="00B7730F">
            <w:pPr>
              <w:autoSpaceDE w:val="0"/>
              <w:autoSpaceDN w:val="0"/>
              <w:adjustRightInd w:val="0"/>
              <w:jc w:val="both"/>
              <w:rPr>
                <w:bCs/>
                <w:lang w:val="en-GB"/>
              </w:rPr>
            </w:pPr>
            <w:r w:rsidRPr="00B7730F">
              <w:rPr>
                <w:bCs/>
                <w:lang w:val="en-GB"/>
              </w:rPr>
              <w:t>- is able to understand and utilise versatile methods used in evaluating population health</w:t>
            </w:r>
          </w:p>
          <w:p w14:paraId="3AA9F76D" w14:textId="77777777" w:rsidR="00B7730F" w:rsidRPr="00B7730F" w:rsidRDefault="00B7730F" w:rsidP="00B7730F">
            <w:pPr>
              <w:autoSpaceDE w:val="0"/>
              <w:autoSpaceDN w:val="0"/>
              <w:adjustRightInd w:val="0"/>
              <w:jc w:val="both"/>
              <w:rPr>
                <w:bCs/>
                <w:lang w:val="en-GB"/>
              </w:rPr>
            </w:pPr>
            <w:r w:rsidRPr="00B7730F">
              <w:rPr>
                <w:bCs/>
                <w:lang w:val="en-GB"/>
              </w:rPr>
              <w:t>- is able to make decisions based on economical and health impact data</w:t>
            </w:r>
          </w:p>
          <w:p w14:paraId="44EAFD9C" w14:textId="516AFFAF" w:rsidR="00DF3B1B" w:rsidRPr="00B7730F" w:rsidRDefault="00B7730F" w:rsidP="00B7730F">
            <w:pPr>
              <w:autoSpaceDE w:val="0"/>
              <w:autoSpaceDN w:val="0"/>
              <w:adjustRightInd w:val="0"/>
              <w:spacing w:after="120"/>
              <w:jc w:val="both"/>
              <w:rPr>
                <w:bCs/>
                <w:lang w:val="en-GB"/>
              </w:rPr>
            </w:pPr>
            <w:r w:rsidRPr="00B7730F">
              <w:rPr>
                <w:bCs/>
                <w:lang w:val="en-GB"/>
              </w:rPr>
              <w:t>- is able to, improve,</w:t>
            </w:r>
            <w:r>
              <w:rPr>
                <w:bCs/>
                <w:lang w:val="en-GB"/>
              </w:rPr>
              <w:t xml:space="preserve"> and defend the health and well</w:t>
            </w:r>
            <w:r w:rsidRPr="00B7730F">
              <w:rPr>
                <w:bCs/>
                <w:lang w:val="en-GB"/>
              </w:rPr>
              <w:t>being of all species living in earth</w:t>
            </w:r>
          </w:p>
        </w:tc>
      </w:tr>
      <w:tr w:rsidR="00DF3B1B" w:rsidRPr="00513E08" w14:paraId="4B94D5A5" w14:textId="77777777" w:rsidTr="00511C2E">
        <w:tc>
          <w:tcPr>
            <w:tcW w:w="2297" w:type="dxa"/>
          </w:tcPr>
          <w:p w14:paraId="3DEEC669" w14:textId="22408B12" w:rsidR="00DF3B1B" w:rsidRPr="00B537B4" w:rsidRDefault="00511C2E" w:rsidP="00BD0B23">
            <w:pPr>
              <w:spacing w:before="120" w:after="120"/>
              <w:rPr>
                <w:rFonts w:asciiTheme="majorHAnsi" w:hAnsiTheme="majorHAnsi" w:cstheme="majorHAnsi"/>
                <w:color w:val="FFC000" w:themeColor="accent4"/>
                <w:lang w:val="en-US"/>
              </w:rPr>
            </w:pPr>
            <w:r w:rsidRPr="000C49EA">
              <w:rPr>
                <w:b/>
                <w:bCs/>
                <w:lang w:val="en-GB"/>
              </w:rPr>
              <w:t>Interdisciplinary partnership competence</w:t>
            </w:r>
          </w:p>
        </w:tc>
        <w:tc>
          <w:tcPr>
            <w:tcW w:w="6611" w:type="dxa"/>
          </w:tcPr>
          <w:p w14:paraId="4FF5D82E" w14:textId="77777777" w:rsidR="00B7730F" w:rsidRPr="00B7730F" w:rsidRDefault="00B7730F" w:rsidP="00B7730F">
            <w:pPr>
              <w:autoSpaceDE w:val="0"/>
              <w:autoSpaceDN w:val="0"/>
              <w:adjustRightInd w:val="0"/>
              <w:spacing w:before="120"/>
              <w:jc w:val="both"/>
              <w:rPr>
                <w:bCs/>
                <w:lang w:val="en-GB"/>
              </w:rPr>
            </w:pPr>
            <w:r w:rsidRPr="00B7730F">
              <w:rPr>
                <w:bCs/>
                <w:lang w:val="en-GB"/>
              </w:rPr>
              <w:t xml:space="preserve">- is able to evaluate and make use of networks and partnerships in global public health </w:t>
            </w:r>
          </w:p>
          <w:p w14:paraId="25734C6E" w14:textId="77777777" w:rsidR="00B7730F" w:rsidRPr="00B7730F" w:rsidRDefault="00B7730F" w:rsidP="00B7730F">
            <w:pPr>
              <w:autoSpaceDE w:val="0"/>
              <w:autoSpaceDN w:val="0"/>
              <w:adjustRightInd w:val="0"/>
              <w:jc w:val="both"/>
              <w:rPr>
                <w:bCs/>
                <w:lang w:val="en-GB"/>
              </w:rPr>
            </w:pPr>
            <w:r w:rsidRPr="00B7730F">
              <w:rPr>
                <w:bCs/>
                <w:lang w:val="en-GB"/>
              </w:rPr>
              <w:t>- is able to develop partnership relations and global networks</w:t>
            </w:r>
          </w:p>
          <w:p w14:paraId="3656B9AB" w14:textId="5347EB21" w:rsidR="00DF3B1B" w:rsidRPr="00B537B4" w:rsidRDefault="00B7730F" w:rsidP="00B7730F">
            <w:pPr>
              <w:autoSpaceDE w:val="0"/>
              <w:autoSpaceDN w:val="0"/>
              <w:adjustRightInd w:val="0"/>
              <w:spacing w:after="120"/>
              <w:jc w:val="both"/>
              <w:rPr>
                <w:rFonts w:asciiTheme="majorHAnsi" w:hAnsiTheme="majorHAnsi" w:cstheme="majorHAnsi"/>
                <w:lang w:val="en-US"/>
              </w:rPr>
            </w:pPr>
            <w:r w:rsidRPr="00B7730F">
              <w:rPr>
                <w:bCs/>
                <w:lang w:val="en-GB"/>
              </w:rPr>
              <w:t>- is able to offer her/his expertise in interdisciplinary networks and groups</w:t>
            </w:r>
          </w:p>
        </w:tc>
      </w:tr>
    </w:tbl>
    <w:p w14:paraId="45FB0818" w14:textId="17F740BF" w:rsidR="00DF3B1B" w:rsidRDefault="00B7730F" w:rsidP="00B7730F">
      <w:pPr>
        <w:rPr>
          <w:lang w:val="en-US"/>
        </w:rPr>
      </w:pPr>
      <w:r>
        <w:rPr>
          <w:lang w:val="en-US"/>
        </w:rPr>
        <w:t>TYGL21SY_4</w:t>
      </w:r>
    </w:p>
    <w:tbl>
      <w:tblPr>
        <w:tblStyle w:val="TaulukkoRuudukko1"/>
        <w:tblW w:w="8930" w:type="dxa"/>
        <w:tblInd w:w="137" w:type="dxa"/>
        <w:tblLayout w:type="fixed"/>
        <w:tblLook w:val="04A0" w:firstRow="1" w:lastRow="0" w:firstColumn="1" w:lastColumn="0" w:noHBand="0" w:noVBand="1"/>
      </w:tblPr>
      <w:tblGrid>
        <w:gridCol w:w="2311"/>
        <w:gridCol w:w="747"/>
        <w:gridCol w:w="5872"/>
      </w:tblGrid>
      <w:tr w:rsidR="00B7730F" w:rsidRPr="000C49EA" w14:paraId="45C86883" w14:textId="77777777" w:rsidTr="0046390B">
        <w:tc>
          <w:tcPr>
            <w:tcW w:w="2311" w:type="dxa"/>
            <w:shd w:val="clear" w:color="auto" w:fill="3CADC4"/>
          </w:tcPr>
          <w:p w14:paraId="3ADCEA7F" w14:textId="77777777" w:rsidR="00B7730F" w:rsidRPr="000C49EA" w:rsidRDefault="00B7730F" w:rsidP="00B7730F">
            <w:pPr>
              <w:autoSpaceDE w:val="0"/>
              <w:autoSpaceDN w:val="0"/>
              <w:adjustRightInd w:val="0"/>
              <w:rPr>
                <w:rFonts w:ascii="Tahoma" w:hAnsi="Tahoma" w:cs="Tahoma"/>
                <w:b/>
                <w:bCs/>
                <w:color w:val="FFFFFF"/>
                <w:sz w:val="20"/>
                <w:szCs w:val="20"/>
                <w:lang w:val="en-GB"/>
              </w:rPr>
            </w:pPr>
            <w:r w:rsidRPr="000C49EA">
              <w:rPr>
                <w:rFonts w:ascii="Tahoma" w:hAnsi="Tahoma" w:cs="Tahoma"/>
                <w:snapToGrid w:val="0"/>
                <w:lang w:val="en-GB"/>
              </w:rPr>
              <w:br w:type="page"/>
            </w:r>
          </w:p>
        </w:tc>
        <w:tc>
          <w:tcPr>
            <w:tcW w:w="747" w:type="dxa"/>
            <w:shd w:val="clear" w:color="auto" w:fill="3CADC4"/>
          </w:tcPr>
          <w:p w14:paraId="481CD344" w14:textId="77777777" w:rsidR="00B7730F" w:rsidRPr="000C49EA" w:rsidRDefault="00B7730F" w:rsidP="00B7730F">
            <w:pPr>
              <w:autoSpaceDE w:val="0"/>
              <w:autoSpaceDN w:val="0"/>
              <w:adjustRightInd w:val="0"/>
              <w:spacing w:before="120"/>
              <w:jc w:val="both"/>
              <w:rPr>
                <w:rFonts w:ascii="Tahoma" w:hAnsi="Tahoma" w:cs="Tahoma"/>
                <w:b/>
                <w:bCs/>
                <w:color w:val="FFFFFF"/>
                <w:sz w:val="20"/>
                <w:szCs w:val="20"/>
                <w:lang w:val="en-GB"/>
              </w:rPr>
            </w:pPr>
            <w:r w:rsidRPr="000C49EA">
              <w:rPr>
                <w:rFonts w:ascii="Tahoma" w:hAnsi="Tahoma" w:cs="Tahoma"/>
                <w:b/>
                <w:bCs/>
                <w:color w:val="FFFFFF"/>
                <w:sz w:val="20"/>
                <w:szCs w:val="20"/>
                <w:lang w:val="en-GB"/>
              </w:rPr>
              <w:t xml:space="preserve">Scale </w:t>
            </w:r>
          </w:p>
          <w:p w14:paraId="14E1BC56" w14:textId="77777777" w:rsidR="00B7730F" w:rsidRPr="000C49EA" w:rsidRDefault="00B7730F" w:rsidP="00B7730F">
            <w:pPr>
              <w:autoSpaceDE w:val="0"/>
              <w:autoSpaceDN w:val="0"/>
              <w:adjustRightInd w:val="0"/>
              <w:spacing w:after="120"/>
              <w:jc w:val="both"/>
              <w:rPr>
                <w:rFonts w:ascii="Tahoma" w:hAnsi="Tahoma" w:cs="Tahoma"/>
                <w:b/>
                <w:bCs/>
                <w:color w:val="FFFFFF"/>
                <w:lang w:val="en-GB"/>
              </w:rPr>
            </w:pPr>
            <w:r w:rsidRPr="000C49EA">
              <w:rPr>
                <w:rFonts w:ascii="Tahoma" w:hAnsi="Tahoma" w:cs="Tahoma"/>
                <w:b/>
                <w:bCs/>
                <w:color w:val="FFFFFF"/>
                <w:sz w:val="20"/>
                <w:szCs w:val="20"/>
                <w:lang w:val="en-GB"/>
              </w:rPr>
              <w:t>ECTS</w:t>
            </w:r>
          </w:p>
        </w:tc>
        <w:tc>
          <w:tcPr>
            <w:tcW w:w="5872" w:type="dxa"/>
            <w:shd w:val="clear" w:color="auto" w:fill="3CADC4"/>
          </w:tcPr>
          <w:p w14:paraId="106D2245" w14:textId="4A697423" w:rsidR="00B7730F" w:rsidRPr="000C49EA" w:rsidRDefault="00B7730F" w:rsidP="00B7730F">
            <w:pPr>
              <w:autoSpaceDE w:val="0"/>
              <w:autoSpaceDN w:val="0"/>
              <w:adjustRightInd w:val="0"/>
              <w:spacing w:before="120" w:after="100" w:afterAutospacing="1"/>
              <w:jc w:val="both"/>
              <w:rPr>
                <w:rFonts w:ascii="Tahoma" w:hAnsi="Tahoma" w:cs="Tahoma"/>
                <w:b/>
                <w:bCs/>
                <w:color w:val="FFFFFF"/>
                <w:sz w:val="20"/>
                <w:szCs w:val="20"/>
                <w:lang w:val="en-GB"/>
              </w:rPr>
            </w:pPr>
            <w:r w:rsidRPr="000C49EA">
              <w:rPr>
                <w:rFonts w:ascii="Tahoma" w:hAnsi="Tahoma" w:cs="Tahoma"/>
                <w:b/>
                <w:bCs/>
                <w:color w:val="FFFFFF"/>
                <w:sz w:val="20"/>
                <w:szCs w:val="20"/>
                <w:lang w:val="en-GB"/>
              </w:rPr>
              <w:t>M</w:t>
            </w:r>
            <w:r>
              <w:rPr>
                <w:rFonts w:ascii="Tahoma" w:hAnsi="Tahoma" w:cs="Tahoma"/>
                <w:b/>
                <w:bCs/>
                <w:color w:val="FFFFFF"/>
                <w:sz w:val="20"/>
                <w:szCs w:val="20"/>
                <w:lang w:val="en-GB"/>
              </w:rPr>
              <w:t>aster programme study structure</w:t>
            </w:r>
          </w:p>
        </w:tc>
      </w:tr>
      <w:tr w:rsidR="00B7730F" w:rsidRPr="00513E08" w14:paraId="405CF7BB" w14:textId="77777777" w:rsidTr="00B7730F">
        <w:tc>
          <w:tcPr>
            <w:tcW w:w="2311" w:type="dxa"/>
          </w:tcPr>
          <w:p w14:paraId="345E5351" w14:textId="77777777" w:rsidR="00B7730F" w:rsidRPr="000C49EA" w:rsidRDefault="00B7730F" w:rsidP="00EA1E2F">
            <w:pPr>
              <w:autoSpaceDE w:val="0"/>
              <w:autoSpaceDN w:val="0"/>
              <w:adjustRightInd w:val="0"/>
              <w:rPr>
                <w:rFonts w:ascii="Tahoma" w:hAnsi="Tahoma" w:cs="Tahoma"/>
                <w:b/>
                <w:bCs/>
                <w:color w:val="000000"/>
                <w:sz w:val="20"/>
                <w:szCs w:val="20"/>
                <w:lang w:val="en-GB"/>
              </w:rPr>
            </w:pPr>
            <w:r w:rsidRPr="000C49EA">
              <w:rPr>
                <w:rFonts w:ascii="Tahoma" w:hAnsi="Tahoma" w:cs="Tahoma"/>
                <w:b/>
                <w:bCs/>
                <w:color w:val="000000"/>
                <w:sz w:val="20"/>
                <w:szCs w:val="20"/>
                <w:lang w:val="en-GB"/>
              </w:rPr>
              <w:t>Advanced Professional</w:t>
            </w:r>
          </w:p>
          <w:p w14:paraId="21AF0938" w14:textId="77777777" w:rsidR="00B7730F" w:rsidRPr="000C49EA" w:rsidRDefault="00B7730F" w:rsidP="00EA1E2F">
            <w:pPr>
              <w:autoSpaceDE w:val="0"/>
              <w:autoSpaceDN w:val="0"/>
              <w:adjustRightInd w:val="0"/>
              <w:rPr>
                <w:rFonts w:ascii="Tahoma" w:hAnsi="Tahoma" w:cs="Tahoma"/>
                <w:b/>
                <w:bCs/>
                <w:color w:val="000000"/>
                <w:sz w:val="20"/>
                <w:szCs w:val="20"/>
                <w:lang w:val="en-GB"/>
              </w:rPr>
            </w:pPr>
            <w:r w:rsidRPr="000C49EA">
              <w:rPr>
                <w:rFonts w:ascii="Tahoma" w:hAnsi="Tahoma" w:cs="Tahoma"/>
                <w:b/>
                <w:bCs/>
                <w:color w:val="000000"/>
                <w:sz w:val="20"/>
                <w:szCs w:val="20"/>
                <w:lang w:val="en-GB"/>
              </w:rPr>
              <w:t xml:space="preserve">studies </w:t>
            </w:r>
          </w:p>
        </w:tc>
        <w:tc>
          <w:tcPr>
            <w:tcW w:w="747" w:type="dxa"/>
          </w:tcPr>
          <w:p w14:paraId="53016510" w14:textId="77777777" w:rsidR="00B7730F" w:rsidRPr="000C49EA" w:rsidRDefault="00B7730F" w:rsidP="00EA1E2F">
            <w:pPr>
              <w:autoSpaceDE w:val="0"/>
              <w:autoSpaceDN w:val="0"/>
              <w:adjustRightInd w:val="0"/>
              <w:rPr>
                <w:rFonts w:ascii="Tahoma" w:hAnsi="Tahoma" w:cs="Tahoma"/>
                <w:color w:val="000000"/>
                <w:sz w:val="20"/>
                <w:szCs w:val="20"/>
                <w:lang w:val="en-GB"/>
              </w:rPr>
            </w:pPr>
            <w:r w:rsidRPr="000C49EA">
              <w:rPr>
                <w:rFonts w:ascii="Tahoma" w:hAnsi="Tahoma" w:cs="Tahoma"/>
                <w:color w:val="000000"/>
                <w:sz w:val="20"/>
                <w:szCs w:val="20"/>
                <w:lang w:val="en-GB"/>
              </w:rPr>
              <w:t>30</w:t>
            </w:r>
          </w:p>
        </w:tc>
        <w:tc>
          <w:tcPr>
            <w:tcW w:w="5872" w:type="dxa"/>
          </w:tcPr>
          <w:p w14:paraId="778EE7BB" w14:textId="77777777" w:rsidR="00B7730F" w:rsidRPr="000C49EA" w:rsidRDefault="00B7730F" w:rsidP="00B7730F">
            <w:pPr>
              <w:autoSpaceDE w:val="0"/>
              <w:autoSpaceDN w:val="0"/>
              <w:adjustRightInd w:val="0"/>
              <w:spacing w:before="120" w:after="120"/>
              <w:rPr>
                <w:rFonts w:ascii="Tahoma" w:hAnsi="Tahoma" w:cs="Tahoma"/>
                <w:color w:val="000000"/>
                <w:sz w:val="20"/>
                <w:szCs w:val="20"/>
                <w:lang w:val="en-GB"/>
              </w:rPr>
            </w:pPr>
            <w:r w:rsidRPr="000C49EA">
              <w:rPr>
                <w:rFonts w:ascii="Tahoma" w:hAnsi="Tahoma" w:cs="Tahoma"/>
                <w:color w:val="000000"/>
                <w:sz w:val="20"/>
                <w:szCs w:val="20"/>
                <w:lang w:val="en-GB"/>
              </w:rPr>
              <w:t xml:space="preserve">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w:t>
            </w:r>
            <w:proofErr w:type="gramStart"/>
            <w:r w:rsidRPr="000C49EA">
              <w:rPr>
                <w:rFonts w:ascii="Tahoma" w:hAnsi="Tahoma" w:cs="Tahoma"/>
                <w:color w:val="000000"/>
                <w:sz w:val="20"/>
                <w:szCs w:val="20"/>
                <w:lang w:val="en-GB"/>
              </w:rPr>
              <w:t>to continuously develop</w:t>
            </w:r>
            <w:proofErr w:type="gramEnd"/>
            <w:r w:rsidRPr="000C49EA">
              <w:rPr>
                <w:rFonts w:ascii="Tahoma" w:hAnsi="Tahoma" w:cs="Tahoma"/>
                <w:color w:val="000000"/>
                <w:sz w:val="20"/>
                <w:szCs w:val="20"/>
                <w:lang w:val="en-GB"/>
              </w:rPr>
              <w:t xml:space="preserve"> the students’ professional skills. </w:t>
            </w:r>
          </w:p>
        </w:tc>
      </w:tr>
      <w:tr w:rsidR="00B7730F" w:rsidRPr="00513E08" w14:paraId="67119D69" w14:textId="77777777" w:rsidTr="00B7730F">
        <w:tc>
          <w:tcPr>
            <w:tcW w:w="2311" w:type="dxa"/>
          </w:tcPr>
          <w:p w14:paraId="49989215" w14:textId="77777777" w:rsidR="00B7730F" w:rsidRPr="000C49EA" w:rsidRDefault="00B7730F" w:rsidP="00EA1E2F">
            <w:pPr>
              <w:autoSpaceDE w:val="0"/>
              <w:autoSpaceDN w:val="0"/>
              <w:adjustRightInd w:val="0"/>
              <w:rPr>
                <w:rFonts w:ascii="Tahoma" w:hAnsi="Tahoma" w:cs="Tahoma"/>
                <w:b/>
                <w:bCs/>
                <w:color w:val="000000"/>
                <w:sz w:val="20"/>
                <w:szCs w:val="20"/>
                <w:lang w:val="en-GB"/>
              </w:rPr>
            </w:pPr>
            <w:r w:rsidRPr="000C49EA">
              <w:rPr>
                <w:rFonts w:ascii="Tahoma" w:hAnsi="Tahoma" w:cs="Tahoma"/>
                <w:b/>
                <w:bCs/>
                <w:color w:val="000000"/>
                <w:sz w:val="20"/>
                <w:szCs w:val="20"/>
                <w:lang w:val="en-GB"/>
              </w:rPr>
              <w:t>Joint  studies /</w:t>
            </w:r>
          </w:p>
          <w:p w14:paraId="7D28FE9A" w14:textId="77777777" w:rsidR="00B7730F" w:rsidRPr="000C49EA" w:rsidRDefault="00B7730F" w:rsidP="00EA1E2F">
            <w:pPr>
              <w:autoSpaceDE w:val="0"/>
              <w:autoSpaceDN w:val="0"/>
              <w:adjustRightInd w:val="0"/>
              <w:rPr>
                <w:rFonts w:ascii="Tahoma" w:hAnsi="Tahoma" w:cs="Tahoma"/>
                <w:color w:val="000000"/>
                <w:sz w:val="20"/>
                <w:szCs w:val="20"/>
                <w:lang w:val="en-GB"/>
              </w:rPr>
            </w:pPr>
            <w:r w:rsidRPr="000C49EA">
              <w:rPr>
                <w:rFonts w:ascii="Tahoma" w:hAnsi="Tahoma" w:cs="Tahoma"/>
                <w:b/>
                <w:bCs/>
                <w:color w:val="000000"/>
                <w:sz w:val="20"/>
                <w:szCs w:val="20"/>
                <w:lang w:val="en-GB"/>
              </w:rPr>
              <w:t>elective studies</w:t>
            </w:r>
          </w:p>
        </w:tc>
        <w:tc>
          <w:tcPr>
            <w:tcW w:w="747" w:type="dxa"/>
          </w:tcPr>
          <w:p w14:paraId="28BC4505" w14:textId="77777777" w:rsidR="00B7730F" w:rsidRPr="000C49EA" w:rsidRDefault="00B7730F" w:rsidP="00EA1E2F">
            <w:pPr>
              <w:autoSpaceDE w:val="0"/>
              <w:autoSpaceDN w:val="0"/>
              <w:adjustRightInd w:val="0"/>
              <w:rPr>
                <w:rFonts w:ascii="Tahoma" w:hAnsi="Tahoma" w:cs="Tahoma"/>
                <w:color w:val="000000"/>
                <w:sz w:val="20"/>
                <w:szCs w:val="20"/>
                <w:lang w:val="en-GB"/>
              </w:rPr>
            </w:pPr>
            <w:r w:rsidRPr="000C49EA">
              <w:rPr>
                <w:rFonts w:ascii="Tahoma" w:hAnsi="Tahoma" w:cs="Tahoma"/>
                <w:color w:val="000000"/>
                <w:sz w:val="20"/>
                <w:szCs w:val="20"/>
                <w:lang w:val="en-GB"/>
              </w:rPr>
              <w:t xml:space="preserve">30 </w:t>
            </w:r>
          </w:p>
        </w:tc>
        <w:tc>
          <w:tcPr>
            <w:tcW w:w="5872" w:type="dxa"/>
          </w:tcPr>
          <w:p w14:paraId="59B09A05" w14:textId="77777777" w:rsidR="00B7730F" w:rsidRPr="000C49EA" w:rsidRDefault="00B7730F" w:rsidP="00B7730F">
            <w:pPr>
              <w:autoSpaceDE w:val="0"/>
              <w:autoSpaceDN w:val="0"/>
              <w:adjustRightInd w:val="0"/>
              <w:spacing w:after="120"/>
              <w:rPr>
                <w:rFonts w:ascii="Tahoma" w:hAnsi="Tahoma" w:cs="Tahoma"/>
                <w:sz w:val="20"/>
                <w:szCs w:val="20"/>
                <w:lang w:val="en-GB"/>
              </w:rPr>
            </w:pPr>
            <w:r w:rsidRPr="000C49EA">
              <w:rPr>
                <w:rFonts w:ascii="Tahoma" w:hAnsi="Tahoma" w:cs="Tahoma"/>
                <w:sz w:val="20"/>
                <w:szCs w:val="20"/>
                <w:lang w:val="en-GB"/>
              </w:rPr>
              <w:t xml:space="preserve">Joint studies support the development of expertise and </w:t>
            </w:r>
            <w:proofErr w:type="gramStart"/>
            <w:r w:rsidRPr="000C49EA">
              <w:rPr>
                <w:rFonts w:ascii="Tahoma" w:hAnsi="Tahoma" w:cs="Tahoma"/>
                <w:sz w:val="20"/>
                <w:szCs w:val="20"/>
                <w:lang w:val="en-GB"/>
              </w:rPr>
              <w:t>are directed</w:t>
            </w:r>
            <w:proofErr w:type="gramEnd"/>
            <w:r w:rsidRPr="000C49EA">
              <w:rPr>
                <w:rFonts w:ascii="Tahoma" w:hAnsi="Tahoma" w:cs="Tahoma"/>
                <w:sz w:val="20"/>
                <w:szCs w:val="20"/>
                <w:lang w:val="en-GB"/>
              </w:rPr>
              <w:t xml:space="preserve"> according to the interests of the student. The supply of courses in the </w:t>
            </w:r>
            <w:proofErr w:type="gramStart"/>
            <w:r w:rsidRPr="000C49EA">
              <w:rPr>
                <w:rFonts w:ascii="Tahoma" w:hAnsi="Tahoma" w:cs="Tahoma"/>
                <w:sz w:val="20"/>
                <w:szCs w:val="20"/>
                <w:lang w:val="en-GB"/>
              </w:rPr>
              <w:t>programme  provides</w:t>
            </w:r>
            <w:proofErr w:type="gramEnd"/>
            <w:r w:rsidRPr="000C49EA">
              <w:rPr>
                <w:rFonts w:ascii="Tahoma" w:hAnsi="Tahoma" w:cs="Tahoma"/>
                <w:sz w:val="20"/>
                <w:szCs w:val="20"/>
                <w:lang w:val="en-GB"/>
              </w:rPr>
              <w:t xml:space="preserve"> provision for e.g. courses which are meant for all and in total 30 ECTS.  </w:t>
            </w:r>
          </w:p>
        </w:tc>
      </w:tr>
      <w:tr w:rsidR="00B7730F" w:rsidRPr="00513E08" w14:paraId="00BF4D4F" w14:textId="77777777" w:rsidTr="00B7730F">
        <w:tc>
          <w:tcPr>
            <w:tcW w:w="2311" w:type="dxa"/>
          </w:tcPr>
          <w:p w14:paraId="29D0BF0E" w14:textId="77777777" w:rsidR="00B7730F" w:rsidRPr="000C49EA" w:rsidRDefault="00B7730F" w:rsidP="00EA1E2F">
            <w:pPr>
              <w:autoSpaceDE w:val="0"/>
              <w:autoSpaceDN w:val="0"/>
              <w:adjustRightInd w:val="0"/>
              <w:rPr>
                <w:rFonts w:ascii="Tahoma" w:hAnsi="Tahoma" w:cs="Tahoma"/>
                <w:b/>
                <w:color w:val="00ACCD"/>
                <w:sz w:val="24"/>
                <w:szCs w:val="24"/>
                <w:lang w:val="en-GB"/>
              </w:rPr>
            </w:pPr>
            <w:r w:rsidRPr="000C49EA">
              <w:rPr>
                <w:rFonts w:ascii="Tahoma" w:hAnsi="Tahoma" w:cs="Tahoma"/>
                <w:b/>
                <w:bCs/>
                <w:color w:val="000000"/>
                <w:sz w:val="20"/>
                <w:szCs w:val="20"/>
                <w:lang w:val="en-GB"/>
              </w:rPr>
              <w:t>Optional studies</w:t>
            </w:r>
          </w:p>
        </w:tc>
        <w:tc>
          <w:tcPr>
            <w:tcW w:w="747" w:type="dxa"/>
          </w:tcPr>
          <w:p w14:paraId="483E43DE" w14:textId="77777777" w:rsidR="00B7730F" w:rsidRPr="000C49EA" w:rsidRDefault="00B7730F" w:rsidP="00EA1E2F">
            <w:pPr>
              <w:autoSpaceDE w:val="0"/>
              <w:autoSpaceDN w:val="0"/>
              <w:adjustRightInd w:val="0"/>
              <w:rPr>
                <w:rFonts w:ascii="Tahoma" w:hAnsi="Tahoma" w:cs="Tahoma"/>
                <w:color w:val="000000"/>
                <w:sz w:val="20"/>
                <w:szCs w:val="20"/>
                <w:lang w:val="en-GB"/>
              </w:rPr>
            </w:pPr>
          </w:p>
        </w:tc>
        <w:tc>
          <w:tcPr>
            <w:tcW w:w="5872" w:type="dxa"/>
          </w:tcPr>
          <w:p w14:paraId="17BE75F1" w14:textId="77777777" w:rsidR="00B7730F" w:rsidRPr="000C49EA" w:rsidRDefault="00B7730F" w:rsidP="00B7730F">
            <w:pPr>
              <w:autoSpaceDE w:val="0"/>
              <w:autoSpaceDN w:val="0"/>
              <w:adjustRightInd w:val="0"/>
              <w:spacing w:before="120" w:after="120"/>
              <w:rPr>
                <w:rFonts w:ascii="Tahoma" w:hAnsi="Tahoma" w:cs="Tahoma"/>
                <w:color w:val="00ACCD"/>
                <w:sz w:val="24"/>
                <w:szCs w:val="24"/>
                <w:lang w:val="en-GB"/>
              </w:rPr>
            </w:pPr>
            <w:r w:rsidRPr="000C49EA">
              <w:rPr>
                <w:rFonts w:ascii="Tahoma" w:hAnsi="Tahoma" w:cs="Tahoma"/>
                <w:color w:val="000000"/>
                <w:sz w:val="20"/>
                <w:szCs w:val="20"/>
                <w:lang w:val="en-GB"/>
              </w:rPr>
              <w:t>Optional</w:t>
            </w:r>
            <w:r w:rsidRPr="000C49EA">
              <w:rPr>
                <w:rFonts w:ascii="Tahoma" w:hAnsi="Tahoma" w:cs="Tahoma"/>
                <w:color w:val="FF0000"/>
                <w:sz w:val="20"/>
                <w:szCs w:val="20"/>
                <w:lang w:val="en-GB"/>
              </w:rPr>
              <w:t xml:space="preserve"> </w:t>
            </w:r>
            <w:r w:rsidRPr="000C49EA">
              <w:rPr>
                <w:rFonts w:ascii="Tahoma" w:hAnsi="Tahoma" w:cs="Tahoma"/>
                <w:color w:val="000000"/>
                <w:sz w:val="20"/>
                <w:szCs w:val="20"/>
                <w:lang w:val="en-GB"/>
              </w:rPr>
              <w:t xml:space="preserve">studies support the development of expertise and </w:t>
            </w:r>
            <w:proofErr w:type="gramStart"/>
            <w:r w:rsidRPr="000C49EA">
              <w:rPr>
                <w:rFonts w:ascii="Tahoma" w:hAnsi="Tahoma" w:cs="Tahoma"/>
                <w:color w:val="000000"/>
                <w:sz w:val="20"/>
                <w:szCs w:val="20"/>
                <w:lang w:val="en-GB"/>
              </w:rPr>
              <w:t>are directed</w:t>
            </w:r>
            <w:proofErr w:type="gramEnd"/>
            <w:r w:rsidRPr="000C49EA">
              <w:rPr>
                <w:rFonts w:ascii="Tahoma" w:hAnsi="Tahoma" w:cs="Tahoma"/>
                <w:color w:val="000000"/>
                <w:sz w:val="20"/>
                <w:szCs w:val="20"/>
                <w:lang w:val="en-GB"/>
              </w:rPr>
              <w:t xml:space="preserve"> according to the interests of the student. The supply of courses in the programme provides provision for e.g. courses, which </w:t>
            </w:r>
            <w:proofErr w:type="gramStart"/>
            <w:r w:rsidRPr="000C49EA">
              <w:rPr>
                <w:rFonts w:ascii="Tahoma" w:hAnsi="Tahoma" w:cs="Tahoma"/>
                <w:color w:val="000000"/>
                <w:sz w:val="20"/>
                <w:szCs w:val="20"/>
                <w:lang w:val="en-GB"/>
              </w:rPr>
              <w:t>are meant</w:t>
            </w:r>
            <w:proofErr w:type="gramEnd"/>
            <w:r w:rsidRPr="000C49EA">
              <w:rPr>
                <w:rFonts w:ascii="Tahoma" w:hAnsi="Tahoma" w:cs="Tahoma"/>
                <w:color w:val="000000"/>
                <w:sz w:val="20"/>
                <w:szCs w:val="20"/>
                <w:lang w:val="en-GB"/>
              </w:rPr>
              <w:t xml:space="preserve"> for all and in total 5 ECTS. Optional studies acquired elsewhere must be of at least master level (VII).  </w:t>
            </w:r>
          </w:p>
        </w:tc>
      </w:tr>
      <w:tr w:rsidR="00B7730F" w:rsidRPr="00513E08" w14:paraId="29FBEB22" w14:textId="77777777" w:rsidTr="00B7730F">
        <w:trPr>
          <w:trHeight w:val="1978"/>
        </w:trPr>
        <w:tc>
          <w:tcPr>
            <w:tcW w:w="2311" w:type="dxa"/>
          </w:tcPr>
          <w:p w14:paraId="4605905D" w14:textId="77777777" w:rsidR="00B7730F" w:rsidRPr="000C49EA" w:rsidRDefault="00B7730F" w:rsidP="00EA1E2F">
            <w:pPr>
              <w:spacing w:line="360" w:lineRule="auto"/>
              <w:rPr>
                <w:rFonts w:ascii="Tahoma" w:hAnsi="Tahoma" w:cs="Tahoma"/>
                <w:b/>
                <w:lang w:val="en-GB"/>
              </w:rPr>
            </w:pPr>
            <w:r w:rsidRPr="000C49EA">
              <w:rPr>
                <w:rFonts w:ascii="Tahoma" w:hAnsi="Tahoma" w:cs="Tahoma"/>
                <w:b/>
                <w:bCs/>
                <w:color w:val="000000"/>
                <w:sz w:val="20"/>
                <w:szCs w:val="20"/>
                <w:lang w:val="en-GB"/>
              </w:rPr>
              <w:t>Thesis</w:t>
            </w:r>
          </w:p>
          <w:p w14:paraId="5E801042" w14:textId="77777777" w:rsidR="00B7730F" w:rsidRPr="000C49EA" w:rsidRDefault="00B7730F" w:rsidP="00EA1E2F">
            <w:pPr>
              <w:spacing w:before="120" w:after="120" w:line="360" w:lineRule="auto"/>
              <w:rPr>
                <w:rFonts w:ascii="Tahoma" w:hAnsi="Tahoma" w:cs="Tahoma"/>
                <w:b/>
                <w:color w:val="00ACCD"/>
                <w:lang w:val="en-GB"/>
              </w:rPr>
            </w:pPr>
          </w:p>
        </w:tc>
        <w:tc>
          <w:tcPr>
            <w:tcW w:w="747" w:type="dxa"/>
          </w:tcPr>
          <w:p w14:paraId="71FC9C6D" w14:textId="77777777" w:rsidR="00B7730F" w:rsidRPr="000C49EA" w:rsidRDefault="00B7730F" w:rsidP="00EA1E2F">
            <w:pPr>
              <w:autoSpaceDE w:val="0"/>
              <w:autoSpaceDN w:val="0"/>
              <w:adjustRightInd w:val="0"/>
              <w:rPr>
                <w:rFonts w:ascii="Tahoma" w:hAnsi="Tahoma" w:cs="Tahoma"/>
                <w:color w:val="000000"/>
                <w:sz w:val="20"/>
                <w:szCs w:val="20"/>
                <w:lang w:val="en-GB"/>
              </w:rPr>
            </w:pPr>
            <w:r w:rsidRPr="000C49EA">
              <w:rPr>
                <w:rFonts w:ascii="Tahoma" w:hAnsi="Tahoma" w:cs="Tahoma"/>
                <w:color w:val="000000"/>
                <w:sz w:val="20"/>
                <w:szCs w:val="20"/>
                <w:lang w:val="en-GB"/>
              </w:rPr>
              <w:t xml:space="preserve">30 </w:t>
            </w:r>
          </w:p>
        </w:tc>
        <w:tc>
          <w:tcPr>
            <w:tcW w:w="5872" w:type="dxa"/>
          </w:tcPr>
          <w:tbl>
            <w:tblPr>
              <w:tblW w:w="0" w:type="dxa"/>
              <w:tblBorders>
                <w:top w:val="nil"/>
                <w:left w:val="nil"/>
                <w:bottom w:val="nil"/>
                <w:right w:val="nil"/>
              </w:tblBorders>
              <w:tblLayout w:type="fixed"/>
              <w:tblLook w:val="0000" w:firstRow="0" w:lastRow="0" w:firstColumn="0" w:lastColumn="0" w:noHBand="0" w:noVBand="0"/>
            </w:tblPr>
            <w:tblGrid>
              <w:gridCol w:w="6479"/>
            </w:tblGrid>
            <w:tr w:rsidR="00B7730F" w:rsidRPr="00513E08" w14:paraId="646DE0D2" w14:textId="77777777" w:rsidTr="00B7730F">
              <w:trPr>
                <w:trHeight w:val="2984"/>
              </w:trPr>
              <w:tc>
                <w:tcPr>
                  <w:tcW w:w="6479" w:type="dxa"/>
                </w:tcPr>
                <w:p w14:paraId="0309E362" w14:textId="77777777" w:rsidR="00B7730F" w:rsidRPr="000C49EA" w:rsidRDefault="00B7730F" w:rsidP="00B7730F">
                  <w:pPr>
                    <w:autoSpaceDE w:val="0"/>
                    <w:autoSpaceDN w:val="0"/>
                    <w:adjustRightInd w:val="0"/>
                    <w:spacing w:before="120" w:after="0" w:line="240" w:lineRule="auto"/>
                    <w:ind w:left="6"/>
                    <w:rPr>
                      <w:rFonts w:ascii="Tahoma" w:eastAsia="Tahoma" w:hAnsi="Tahoma" w:cs="Tahoma"/>
                      <w:sz w:val="24"/>
                      <w:szCs w:val="24"/>
                      <w:lang w:val="en-GB"/>
                    </w:rPr>
                  </w:pPr>
                  <w:r w:rsidRPr="000C49EA">
                    <w:rPr>
                      <w:rFonts w:ascii="Tahoma" w:eastAsia="Tahoma" w:hAnsi="Tahoma" w:cs="Tahoma"/>
                      <w:color w:val="000000"/>
                      <w:sz w:val="20"/>
                      <w:szCs w:val="20"/>
                      <w:lang w:val="en-GB"/>
                    </w:rPr>
                    <w:t xml:space="preserve">The thesis is a student´s work and learning </w:t>
                  </w:r>
                  <w:proofErr w:type="gramStart"/>
                  <w:r w:rsidRPr="000C49EA">
                    <w:rPr>
                      <w:rFonts w:ascii="Tahoma" w:eastAsia="Tahoma" w:hAnsi="Tahoma" w:cs="Tahoma"/>
                      <w:color w:val="000000"/>
                      <w:sz w:val="20"/>
                      <w:szCs w:val="20"/>
                      <w:lang w:val="en-GB"/>
                    </w:rPr>
                    <w:t xml:space="preserve">process </w:t>
                  </w:r>
                  <w:r w:rsidRPr="000C49EA">
                    <w:rPr>
                      <w:rFonts w:ascii="Tahoma" w:eastAsia="Tahoma" w:hAnsi="Tahoma" w:cs="Tahoma"/>
                      <w:sz w:val="20"/>
                      <w:szCs w:val="20"/>
                      <w:lang w:val="en-GB"/>
                    </w:rPr>
                    <w:t>which</w:t>
                  </w:r>
                  <w:proofErr w:type="gramEnd"/>
                  <w:r w:rsidRPr="000C49EA">
                    <w:rPr>
                      <w:rFonts w:ascii="Tahoma" w:eastAsia="Tahoma" w:hAnsi="Tahoma" w:cs="Tahoma"/>
                      <w:sz w:val="20"/>
                      <w:szCs w:val="20"/>
                      <w:lang w:val="en-GB"/>
                    </w:rPr>
                    <w:t xml:space="preserve"> is supported, directed and evaluated via multidisciplinary team. Included with the student are the teacher (s), an expert /experts of working life or business and other students. Studies include methodological studies.</w:t>
                  </w:r>
                  <w:r w:rsidRPr="000C49EA">
                    <w:rPr>
                      <w:rFonts w:ascii="Tahoma" w:eastAsia="Tahoma" w:hAnsi="Tahoma" w:cs="Tahoma"/>
                      <w:sz w:val="24"/>
                      <w:szCs w:val="24"/>
                      <w:lang w:val="en-GB"/>
                    </w:rPr>
                    <w:t xml:space="preserve"> </w:t>
                  </w:r>
                  <w:r w:rsidRPr="000C49EA">
                    <w:rPr>
                      <w:rFonts w:ascii="Tahoma" w:eastAsia="Tahoma" w:hAnsi="Tahoma" w:cs="Tahoma"/>
                      <w:sz w:val="20"/>
                      <w:szCs w:val="20"/>
                      <w:lang w:val="en-GB"/>
                    </w:rPr>
                    <w:t xml:space="preserve">When doing the thesis the student is responsible for: </w:t>
                  </w:r>
                </w:p>
                <w:p w14:paraId="2D64DBBA" w14:textId="77777777" w:rsidR="00B7730F" w:rsidRPr="000C49EA" w:rsidRDefault="00B7730F" w:rsidP="00B7730F">
                  <w:pPr>
                    <w:numPr>
                      <w:ilvl w:val="0"/>
                      <w:numId w:val="6"/>
                    </w:num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the idea of the thesis, the application of it to </w:t>
                  </w:r>
                </w:p>
                <w:p w14:paraId="114E4019" w14:textId="77777777" w:rsidR="00B7730F" w:rsidRPr="000C49EA" w:rsidRDefault="00B7730F" w:rsidP="00EA1E2F">
                  <w:p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work life and preparing of needed agreements  </w:t>
                  </w:r>
                </w:p>
                <w:p w14:paraId="01FDBB2E" w14:textId="77777777" w:rsidR="00B7730F" w:rsidRPr="000C49EA" w:rsidRDefault="00B7730F" w:rsidP="00B7730F">
                  <w:pPr>
                    <w:numPr>
                      <w:ilvl w:val="0"/>
                      <w:numId w:val="6"/>
                    </w:num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learning about the task area of the thesis and</w:t>
                  </w:r>
                </w:p>
                <w:p w14:paraId="7E027ABF" w14:textId="77777777" w:rsidR="00B7730F" w:rsidRPr="000C49EA" w:rsidRDefault="00B7730F" w:rsidP="00EA1E2F">
                  <w:p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task setting </w:t>
                  </w:r>
                </w:p>
                <w:p w14:paraId="402BE395" w14:textId="77777777" w:rsidR="00B7730F" w:rsidRPr="000C49EA" w:rsidRDefault="00B7730F" w:rsidP="00B7730F">
                  <w:pPr>
                    <w:numPr>
                      <w:ilvl w:val="0"/>
                      <w:numId w:val="6"/>
                    </w:num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participating as a peer reviewer in the thesis </w:t>
                  </w:r>
                </w:p>
                <w:p w14:paraId="6EC68EC9" w14:textId="77777777" w:rsidR="00B7730F" w:rsidRPr="000C49EA" w:rsidRDefault="00B7730F" w:rsidP="00EA1E2F">
                  <w:p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process of others </w:t>
                  </w:r>
                </w:p>
                <w:p w14:paraId="5260B60C" w14:textId="77777777" w:rsidR="00B7730F" w:rsidRPr="000C49EA" w:rsidRDefault="00B7730F" w:rsidP="00B7730F">
                  <w:pPr>
                    <w:numPr>
                      <w:ilvl w:val="0"/>
                      <w:numId w:val="6"/>
                    </w:num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 xml:space="preserve">enforcing the completion of the set task </w:t>
                  </w:r>
                </w:p>
                <w:p w14:paraId="6334BC1B" w14:textId="77777777" w:rsidR="00B7730F" w:rsidRPr="000C49EA" w:rsidRDefault="00B7730F" w:rsidP="00B7730F">
                  <w:pPr>
                    <w:numPr>
                      <w:ilvl w:val="0"/>
                      <w:numId w:val="6"/>
                    </w:num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presentation of the thesis and compiling of</w:t>
                  </w:r>
                </w:p>
                <w:p w14:paraId="7921382A" w14:textId="77777777" w:rsidR="00B7730F" w:rsidRPr="000C49EA" w:rsidRDefault="00B7730F" w:rsidP="00EA1E2F">
                  <w:pPr>
                    <w:autoSpaceDE w:val="0"/>
                    <w:autoSpaceDN w:val="0"/>
                    <w:adjustRightInd w:val="0"/>
                    <w:spacing w:after="0" w:line="240" w:lineRule="auto"/>
                    <w:ind w:left="360"/>
                    <w:contextualSpacing/>
                    <w:rPr>
                      <w:rFonts w:ascii="Tahoma" w:eastAsia="Times New Roman" w:hAnsi="Tahoma" w:cs="Tahoma"/>
                      <w:sz w:val="20"/>
                      <w:szCs w:val="24"/>
                      <w:lang w:val="en-GB"/>
                    </w:rPr>
                  </w:pPr>
                  <w:r w:rsidRPr="000C49EA">
                    <w:rPr>
                      <w:rFonts w:ascii="Tahoma" w:eastAsia="Times New Roman" w:hAnsi="Tahoma" w:cs="Tahoma"/>
                      <w:sz w:val="20"/>
                      <w:szCs w:val="24"/>
                      <w:lang w:val="en-GB"/>
                    </w:rPr>
                    <w:t>information material</w:t>
                  </w:r>
                </w:p>
                <w:p w14:paraId="0A7493BB" w14:textId="77777777" w:rsidR="00B7730F" w:rsidRPr="000C49EA" w:rsidRDefault="00B7730F" w:rsidP="00EA1E2F">
                  <w:pPr>
                    <w:autoSpaceDE w:val="0"/>
                    <w:autoSpaceDN w:val="0"/>
                    <w:adjustRightInd w:val="0"/>
                    <w:spacing w:after="0" w:line="240" w:lineRule="auto"/>
                    <w:rPr>
                      <w:rFonts w:ascii="Tahoma" w:eastAsia="Tahoma" w:hAnsi="Tahoma" w:cs="Tahoma"/>
                      <w:color w:val="000000"/>
                      <w:sz w:val="20"/>
                      <w:szCs w:val="20"/>
                      <w:lang w:val="en-GB"/>
                    </w:rPr>
                  </w:pPr>
                  <w:r w:rsidRPr="000C49EA">
                    <w:rPr>
                      <w:rFonts w:ascii="Tahoma" w:eastAsia="Tahoma" w:hAnsi="Tahoma" w:cs="Tahoma"/>
                      <w:color w:val="000000"/>
                      <w:sz w:val="20"/>
                      <w:szCs w:val="20"/>
                      <w:lang w:val="en-GB"/>
                    </w:rPr>
                    <w:t xml:space="preserve">The development task or applied research offers new </w:t>
                  </w:r>
                </w:p>
                <w:p w14:paraId="355412C6" w14:textId="77777777" w:rsidR="00B7730F" w:rsidRPr="000C49EA" w:rsidRDefault="00B7730F" w:rsidP="00EA1E2F">
                  <w:pPr>
                    <w:autoSpaceDE w:val="0"/>
                    <w:autoSpaceDN w:val="0"/>
                    <w:adjustRightInd w:val="0"/>
                    <w:spacing w:after="0" w:line="240" w:lineRule="auto"/>
                    <w:rPr>
                      <w:rFonts w:ascii="Tahoma" w:eastAsia="Tahoma" w:hAnsi="Tahoma" w:cs="Tahoma"/>
                      <w:color w:val="000000"/>
                      <w:sz w:val="20"/>
                      <w:szCs w:val="20"/>
                      <w:lang w:val="en-GB"/>
                    </w:rPr>
                  </w:pPr>
                  <w:proofErr w:type="gramStart"/>
                  <w:r w:rsidRPr="000C49EA">
                    <w:rPr>
                      <w:rFonts w:ascii="Tahoma" w:eastAsia="Tahoma" w:hAnsi="Tahoma" w:cs="Tahoma"/>
                      <w:color w:val="000000"/>
                      <w:sz w:val="20"/>
                      <w:szCs w:val="20"/>
                      <w:lang w:val="en-GB"/>
                    </w:rPr>
                    <w:t>know-how</w:t>
                  </w:r>
                  <w:proofErr w:type="gramEnd"/>
                  <w:r w:rsidRPr="000C49EA">
                    <w:rPr>
                      <w:rFonts w:ascii="Tahoma" w:eastAsia="Tahoma" w:hAnsi="Tahoma" w:cs="Tahoma"/>
                      <w:color w:val="000000"/>
                      <w:sz w:val="20"/>
                      <w:szCs w:val="20"/>
                      <w:lang w:val="en-GB"/>
                    </w:rPr>
                    <w:t xml:space="preserve"> to working life. Student shows his/her expertise, and student has possibilities to get new job opportunities. </w:t>
                  </w:r>
                </w:p>
                <w:p w14:paraId="7561055A" w14:textId="77777777" w:rsidR="00B7730F" w:rsidRPr="000C49EA" w:rsidRDefault="00B7730F" w:rsidP="00EA1E2F">
                  <w:pPr>
                    <w:autoSpaceDE w:val="0"/>
                    <w:autoSpaceDN w:val="0"/>
                    <w:adjustRightInd w:val="0"/>
                    <w:spacing w:after="0" w:line="240" w:lineRule="auto"/>
                    <w:rPr>
                      <w:rFonts w:ascii="Tahoma" w:eastAsia="Tahoma" w:hAnsi="Tahoma" w:cs="Tahoma"/>
                      <w:color w:val="000000"/>
                      <w:sz w:val="20"/>
                      <w:szCs w:val="20"/>
                      <w:lang w:val="en-GB"/>
                    </w:rPr>
                  </w:pPr>
                  <w:r w:rsidRPr="000C49EA">
                    <w:rPr>
                      <w:rFonts w:ascii="Tahoma" w:eastAsia="Tahoma" w:hAnsi="Tahoma" w:cs="Tahoma"/>
                      <w:color w:val="000000"/>
                      <w:sz w:val="20"/>
                      <w:szCs w:val="20"/>
                      <w:lang w:val="en-GB"/>
                    </w:rPr>
                    <w:t xml:space="preserve">The thesis shows the skill of written communication. Thesis study module includes research methods and academic writing. </w:t>
                  </w:r>
                </w:p>
                <w:p w14:paraId="26173C37" w14:textId="77777777" w:rsidR="00B7730F" w:rsidRPr="000C49EA" w:rsidRDefault="00B7730F" w:rsidP="00EA1E2F">
                  <w:pPr>
                    <w:autoSpaceDE w:val="0"/>
                    <w:autoSpaceDN w:val="0"/>
                    <w:adjustRightInd w:val="0"/>
                    <w:spacing w:after="0" w:line="240" w:lineRule="auto"/>
                    <w:rPr>
                      <w:rFonts w:ascii="Tahoma" w:eastAsia="Tahoma" w:hAnsi="Tahoma" w:cs="Tahoma"/>
                      <w:color w:val="000000"/>
                      <w:sz w:val="20"/>
                      <w:szCs w:val="20"/>
                      <w:lang w:val="en-GB"/>
                    </w:rPr>
                  </w:pPr>
                  <w:r w:rsidRPr="000C49EA">
                    <w:rPr>
                      <w:rFonts w:ascii="Tahoma" w:eastAsia="Tahoma" w:hAnsi="Tahoma" w:cs="Tahoma"/>
                      <w:color w:val="FF0000"/>
                      <w:sz w:val="20"/>
                      <w:szCs w:val="20"/>
                      <w:lang w:val="en-GB"/>
                    </w:rPr>
                    <w:t xml:space="preserve"> </w:t>
                  </w:r>
                </w:p>
              </w:tc>
            </w:tr>
          </w:tbl>
          <w:p w14:paraId="6656C622" w14:textId="77777777" w:rsidR="00B7730F" w:rsidRPr="000C49EA" w:rsidRDefault="00B7730F" w:rsidP="00EA1E2F">
            <w:pPr>
              <w:spacing w:line="360" w:lineRule="auto"/>
              <w:rPr>
                <w:rFonts w:ascii="Tahoma" w:hAnsi="Tahoma" w:cs="Tahoma"/>
                <w:color w:val="00ACCD"/>
                <w:lang w:val="en-GB"/>
              </w:rPr>
            </w:pPr>
          </w:p>
        </w:tc>
      </w:tr>
      <w:tr w:rsidR="00B7730F" w:rsidRPr="000C49EA" w14:paraId="3C84E193" w14:textId="77777777" w:rsidTr="00B7730F">
        <w:tc>
          <w:tcPr>
            <w:tcW w:w="2311" w:type="dxa"/>
          </w:tcPr>
          <w:p w14:paraId="40783697" w14:textId="77777777" w:rsidR="00B7730F" w:rsidRPr="000C49EA" w:rsidRDefault="00B7730F" w:rsidP="00EA1E2F">
            <w:pPr>
              <w:spacing w:line="360" w:lineRule="auto"/>
              <w:rPr>
                <w:rFonts w:ascii="Tahoma" w:hAnsi="Tahoma" w:cs="Tahoma"/>
                <w:b/>
                <w:lang w:val="en-GB"/>
              </w:rPr>
            </w:pPr>
            <w:r w:rsidRPr="000C49EA">
              <w:rPr>
                <w:rFonts w:ascii="Tahoma" w:hAnsi="Tahoma" w:cs="Tahoma"/>
                <w:b/>
                <w:lang w:val="en-GB"/>
              </w:rPr>
              <w:t>In total</w:t>
            </w:r>
          </w:p>
        </w:tc>
        <w:tc>
          <w:tcPr>
            <w:tcW w:w="747" w:type="dxa"/>
          </w:tcPr>
          <w:p w14:paraId="5ED32462" w14:textId="77777777" w:rsidR="00B7730F" w:rsidRPr="000C49EA" w:rsidRDefault="00B7730F" w:rsidP="00EA1E2F">
            <w:pPr>
              <w:spacing w:line="360" w:lineRule="auto"/>
              <w:rPr>
                <w:rFonts w:ascii="Tahoma" w:hAnsi="Tahoma" w:cs="Tahoma"/>
                <w:lang w:val="en-GB"/>
              </w:rPr>
            </w:pPr>
            <w:r w:rsidRPr="000C49EA">
              <w:rPr>
                <w:rFonts w:ascii="Tahoma" w:hAnsi="Tahoma" w:cs="Tahoma"/>
                <w:lang w:val="en-GB"/>
              </w:rPr>
              <w:t>90</w:t>
            </w:r>
          </w:p>
        </w:tc>
        <w:tc>
          <w:tcPr>
            <w:tcW w:w="5872" w:type="dxa"/>
          </w:tcPr>
          <w:p w14:paraId="6527A229" w14:textId="77777777" w:rsidR="00B7730F" w:rsidRPr="000C49EA" w:rsidRDefault="00B7730F" w:rsidP="00EA1E2F">
            <w:pPr>
              <w:spacing w:line="360" w:lineRule="auto"/>
              <w:rPr>
                <w:rFonts w:ascii="Tahoma" w:hAnsi="Tahoma" w:cs="Tahoma"/>
                <w:lang w:val="en-GB"/>
              </w:rPr>
            </w:pPr>
          </w:p>
        </w:tc>
      </w:tr>
    </w:tbl>
    <w:p w14:paraId="037BAE5D" w14:textId="77777777" w:rsidR="00B7730F" w:rsidRPr="00B537B4" w:rsidRDefault="00B7730F" w:rsidP="00B7730F">
      <w:pPr>
        <w:rPr>
          <w:lang w:val="en-US"/>
        </w:rPr>
      </w:pPr>
    </w:p>
    <w:sectPr w:rsidR="00B7730F" w:rsidRPr="00B53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3" w15:restartNumberingAfterBreak="0">
    <w:nsid w:val="5F9825CF"/>
    <w:multiLevelType w:val="hybridMultilevel"/>
    <w:tmpl w:val="B04A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2"/>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06"/>
    <w:rsid w:val="002D2506"/>
    <w:rsid w:val="0035076A"/>
    <w:rsid w:val="0046390B"/>
    <w:rsid w:val="00511C2E"/>
    <w:rsid w:val="00513E08"/>
    <w:rsid w:val="005D4DF6"/>
    <w:rsid w:val="006E0D8E"/>
    <w:rsid w:val="007B0E52"/>
    <w:rsid w:val="008C2C7F"/>
    <w:rsid w:val="00A77E94"/>
    <w:rsid w:val="00B537B4"/>
    <w:rsid w:val="00B542F8"/>
    <w:rsid w:val="00B7730F"/>
    <w:rsid w:val="00C83418"/>
    <w:rsid w:val="00D37952"/>
    <w:rsid w:val="00D9622C"/>
    <w:rsid w:val="00DF3B1B"/>
    <w:rsid w:val="2C445A5A"/>
    <w:rsid w:val="37B54228"/>
    <w:rsid w:val="743325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6651"/>
  <w15:chartTrackingRefBased/>
  <w15:docId w15:val="{8D2D6F0E-2044-46EA-995C-3645B55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next w:val="Normaali"/>
    <w:link w:val="Otsikko1Char"/>
    <w:uiPriority w:val="9"/>
    <w:qFormat/>
    <w:rsid w:val="00DF3B1B"/>
    <w:pPr>
      <w:keepNext/>
      <w:keepLines/>
      <w:numPr>
        <w:numId w:val="2"/>
      </w:numPr>
      <w:spacing w:after="0" w:line="240" w:lineRule="auto"/>
      <w:outlineLvl w:val="0"/>
    </w:pPr>
    <w:rPr>
      <w:rFonts w:ascii="Tahoma" w:eastAsia="Times New Roman" w:hAnsi="Tahoma" w:cs="Tahoma"/>
      <w:b/>
      <w:bCs/>
      <w:sz w:val="28"/>
      <w:szCs w:val="28"/>
      <w:lang w:eastAsia="en-US"/>
    </w:rPr>
  </w:style>
  <w:style w:type="paragraph" w:styleId="Otsikko2">
    <w:name w:val="heading 2"/>
    <w:next w:val="Normaali"/>
    <w:link w:val="Otsikko2Char"/>
    <w:uiPriority w:val="9"/>
    <w:unhideWhenUsed/>
    <w:qFormat/>
    <w:rsid w:val="00DF3B1B"/>
    <w:pPr>
      <w:numPr>
        <w:ilvl w:val="1"/>
      </w:numPr>
      <w:spacing w:after="0" w:line="240" w:lineRule="auto"/>
      <w:outlineLvl w:val="1"/>
    </w:pPr>
    <w:rPr>
      <w:rFonts w:ascii="Tahoma" w:eastAsia="Times New Roman" w:hAnsi="Tahoma" w:cs="Tahoma"/>
      <w:b/>
      <w:bCs/>
      <w:sz w:val="24"/>
      <w:szCs w:val="28"/>
      <w:lang w:eastAsia="en-US"/>
    </w:rPr>
  </w:style>
  <w:style w:type="paragraph" w:styleId="Otsikko3">
    <w:name w:val="heading 3"/>
    <w:basedOn w:val="Otsikko2"/>
    <w:next w:val="Normaali"/>
    <w:link w:val="Otsikko3Char"/>
    <w:uiPriority w:val="9"/>
    <w:unhideWhenUsed/>
    <w:qFormat/>
    <w:rsid w:val="00DF3B1B"/>
    <w:pPr>
      <w:numPr>
        <w:ilvl w:val="2"/>
      </w:numPr>
      <w:ind w:left="737" w:hanging="737"/>
      <w:outlineLvl w:val="2"/>
    </w:pPr>
  </w:style>
  <w:style w:type="paragraph" w:styleId="Otsikko8">
    <w:name w:val="heading 8"/>
    <w:basedOn w:val="Normaali"/>
    <w:next w:val="Normaali"/>
    <w:link w:val="Otsikko8Char"/>
    <w:uiPriority w:val="9"/>
    <w:semiHidden/>
    <w:unhideWhenUsed/>
    <w:qFormat/>
    <w:rsid w:val="00DF3B1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Otsikko8"/>
    <w:next w:val="Normaali"/>
    <w:link w:val="Otsikko9Char"/>
    <w:uiPriority w:val="9"/>
    <w:unhideWhenUsed/>
    <w:qFormat/>
    <w:rsid w:val="00DF3B1B"/>
    <w:pPr>
      <w:keepNext w:val="0"/>
      <w:keepLines w:val="0"/>
      <w:numPr>
        <w:ilvl w:val="8"/>
        <w:numId w:val="2"/>
      </w:numPr>
      <w:spacing w:before="100" w:beforeAutospacing="1" w:line="240" w:lineRule="auto"/>
      <w:ind w:left="1871" w:hanging="1871"/>
      <w:outlineLvl w:val="8"/>
    </w:pPr>
    <w:rPr>
      <w:rFonts w:ascii="Tahoma" w:eastAsia="Times New Roman" w:hAnsi="Tahoma" w:cs="Times New Roman"/>
      <w:b/>
      <w:color w:val="000000"/>
      <w:sz w:val="24"/>
      <w:szCs w:val="28"/>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F3B1B"/>
    <w:rPr>
      <w:rFonts w:ascii="Tahoma" w:eastAsia="Times New Roman" w:hAnsi="Tahoma" w:cs="Tahoma"/>
      <w:b/>
      <w:bCs/>
      <w:sz w:val="28"/>
      <w:szCs w:val="28"/>
      <w:lang w:eastAsia="en-US"/>
    </w:rPr>
  </w:style>
  <w:style w:type="character" w:customStyle="1" w:styleId="Otsikko2Char">
    <w:name w:val="Otsikko 2 Char"/>
    <w:basedOn w:val="Kappaleenoletusfontti"/>
    <w:link w:val="Otsikko2"/>
    <w:uiPriority w:val="9"/>
    <w:rsid w:val="00DF3B1B"/>
    <w:rPr>
      <w:rFonts w:ascii="Tahoma" w:eastAsia="Times New Roman" w:hAnsi="Tahoma" w:cs="Tahoma"/>
      <w:b/>
      <w:bCs/>
      <w:sz w:val="24"/>
      <w:szCs w:val="28"/>
      <w:lang w:eastAsia="en-US"/>
    </w:rPr>
  </w:style>
  <w:style w:type="character" w:customStyle="1" w:styleId="Otsikko3Char">
    <w:name w:val="Otsikko 3 Char"/>
    <w:basedOn w:val="Kappaleenoletusfontti"/>
    <w:link w:val="Otsikko3"/>
    <w:uiPriority w:val="9"/>
    <w:rsid w:val="00DF3B1B"/>
    <w:rPr>
      <w:rFonts w:ascii="Tahoma" w:eastAsia="Times New Roman" w:hAnsi="Tahoma" w:cs="Tahoma"/>
      <w:b/>
      <w:bCs/>
      <w:sz w:val="24"/>
      <w:szCs w:val="28"/>
      <w:lang w:eastAsia="en-US"/>
    </w:rPr>
  </w:style>
  <w:style w:type="character" w:customStyle="1" w:styleId="Otsikko9Char">
    <w:name w:val="Otsikko 9 Char"/>
    <w:basedOn w:val="Kappaleenoletusfontti"/>
    <w:link w:val="Otsikko9"/>
    <w:uiPriority w:val="9"/>
    <w:rsid w:val="00DF3B1B"/>
    <w:rPr>
      <w:rFonts w:ascii="Tahoma" w:eastAsia="Times New Roman" w:hAnsi="Tahoma" w:cs="Times New Roman"/>
      <w:b/>
      <w:color w:val="000000"/>
      <w:sz w:val="24"/>
      <w:szCs w:val="28"/>
      <w:lang w:eastAsia="en-US"/>
    </w:rPr>
  </w:style>
  <w:style w:type="paragraph" w:styleId="Luettelokappale">
    <w:name w:val="List Paragraph"/>
    <w:basedOn w:val="Normaali"/>
    <w:uiPriority w:val="34"/>
    <w:qFormat/>
    <w:rsid w:val="00DF3B1B"/>
    <w:pPr>
      <w:numPr>
        <w:numId w:val="1"/>
      </w:numPr>
      <w:spacing w:after="0" w:line="360" w:lineRule="auto"/>
      <w:contextualSpacing/>
    </w:pPr>
    <w:rPr>
      <w:rFonts w:ascii="Georgia" w:eastAsia="Times New Roman" w:hAnsi="Georgia" w:cs="Times New Roman"/>
      <w:szCs w:val="24"/>
      <w:lang w:eastAsia="en-US"/>
    </w:rPr>
  </w:style>
  <w:style w:type="paragraph" w:styleId="Alaotsikko">
    <w:name w:val="Subtitle"/>
    <w:next w:val="Normaali"/>
    <w:link w:val="AlaotsikkoChar"/>
    <w:uiPriority w:val="11"/>
    <w:qFormat/>
    <w:rsid w:val="00DF3B1B"/>
    <w:pPr>
      <w:numPr>
        <w:ilvl w:val="1"/>
      </w:numPr>
      <w:spacing w:after="0" w:line="240" w:lineRule="auto"/>
    </w:pPr>
    <w:rPr>
      <w:rFonts w:eastAsia="Times New Roman" w:cs="Tahoma"/>
      <w:b/>
      <w:iCs/>
      <w:szCs w:val="24"/>
      <w:lang w:eastAsia="en-US"/>
    </w:rPr>
  </w:style>
  <w:style w:type="character" w:customStyle="1" w:styleId="AlaotsikkoChar">
    <w:name w:val="Alaotsikko Char"/>
    <w:basedOn w:val="Kappaleenoletusfontti"/>
    <w:link w:val="Alaotsikko"/>
    <w:uiPriority w:val="11"/>
    <w:rsid w:val="00DF3B1B"/>
    <w:rPr>
      <w:rFonts w:eastAsia="Times New Roman" w:cs="Tahoma"/>
      <w:b/>
      <w:iCs/>
      <w:szCs w:val="24"/>
      <w:lang w:eastAsia="en-US"/>
    </w:rPr>
  </w:style>
  <w:style w:type="character" w:styleId="Hyperlinkki">
    <w:name w:val="Hyperlink"/>
    <w:uiPriority w:val="99"/>
    <w:unhideWhenUsed/>
    <w:rsid w:val="00DF3B1B"/>
    <w:rPr>
      <w:color w:val="EC008C"/>
      <w:u w:val="none"/>
    </w:rPr>
  </w:style>
  <w:style w:type="table" w:styleId="TaulukkoRuudukko">
    <w:name w:val="Table Grid"/>
    <w:basedOn w:val="Normaalitaulukko"/>
    <w:uiPriority w:val="59"/>
    <w:rsid w:val="00DF3B1B"/>
    <w:pPr>
      <w:spacing w:after="0" w:line="240" w:lineRule="auto"/>
    </w:pPr>
    <w:rPr>
      <w:rFonts w:ascii="Tahoma" w:eastAsia="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Eiluetteloa"/>
    <w:uiPriority w:val="99"/>
    <w:semiHidden/>
    <w:unhideWhenUsed/>
    <w:rsid w:val="00DF3B1B"/>
    <w:pPr>
      <w:numPr>
        <w:numId w:val="2"/>
      </w:numPr>
    </w:pPr>
  </w:style>
  <w:style w:type="paragraph" w:customStyle="1" w:styleId="Kansilehdenotsikontarkenne">
    <w:name w:val="Kansilehden otsikon tarkenne"/>
    <w:basedOn w:val="Eivli"/>
    <w:link w:val="KansilehdenotsikontarkenneChar"/>
    <w:qFormat/>
    <w:rsid w:val="00DF3B1B"/>
    <w:pPr>
      <w:spacing w:before="120" w:after="120" w:line="276" w:lineRule="auto"/>
    </w:pPr>
    <w:rPr>
      <w:rFonts w:asciiTheme="majorHAnsi" w:eastAsia="Calibri" w:hAnsiTheme="majorHAnsi" w:cs="Times New Roman"/>
      <w:b/>
      <w:color w:val="FFFFFF" w:themeColor="background1"/>
      <w:sz w:val="20"/>
      <w:szCs w:val="24"/>
      <w:lang w:eastAsia="en-US"/>
    </w:rPr>
  </w:style>
  <w:style w:type="character" w:customStyle="1" w:styleId="KansilehdenotsikontarkenneChar">
    <w:name w:val="Kansilehden otsikon tarkenne Char"/>
    <w:basedOn w:val="Kappaleenoletusfontti"/>
    <w:link w:val="Kansilehdenotsikontarkenne"/>
    <w:rsid w:val="00DF3B1B"/>
    <w:rPr>
      <w:rFonts w:asciiTheme="majorHAnsi" w:eastAsia="Calibri" w:hAnsiTheme="majorHAnsi" w:cs="Times New Roman"/>
      <w:b/>
      <w:color w:val="FFFFFF" w:themeColor="background1"/>
      <w:sz w:val="20"/>
      <w:szCs w:val="24"/>
      <w:lang w:eastAsia="en-US"/>
    </w:rPr>
  </w:style>
  <w:style w:type="character" w:customStyle="1" w:styleId="Otsikko8Char">
    <w:name w:val="Otsikko 8 Char"/>
    <w:basedOn w:val="Kappaleenoletusfontti"/>
    <w:link w:val="Otsikko8"/>
    <w:uiPriority w:val="9"/>
    <w:semiHidden/>
    <w:rsid w:val="00DF3B1B"/>
    <w:rPr>
      <w:rFonts w:asciiTheme="majorHAnsi" w:eastAsiaTheme="majorEastAsia" w:hAnsiTheme="majorHAnsi" w:cstheme="majorBidi"/>
      <w:color w:val="272727" w:themeColor="text1" w:themeTint="D8"/>
      <w:sz w:val="21"/>
      <w:szCs w:val="21"/>
    </w:rPr>
  </w:style>
  <w:style w:type="paragraph" w:styleId="Eivli">
    <w:name w:val="No Spacing"/>
    <w:uiPriority w:val="1"/>
    <w:qFormat/>
    <w:rsid w:val="00DF3B1B"/>
    <w:pPr>
      <w:spacing w:after="0" w:line="240" w:lineRule="auto"/>
    </w:pPr>
  </w:style>
  <w:style w:type="table" w:customStyle="1" w:styleId="TaulukkoRuudukko1">
    <w:name w:val="Taulukko Ruudukko1"/>
    <w:basedOn w:val="Normaalitaulukko"/>
    <w:next w:val="TaulukkoRuudukko"/>
    <w:uiPriority w:val="59"/>
    <w:rsid w:val="00C8341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511C2E"/>
    <w:pPr>
      <w:tabs>
        <w:tab w:val="center" w:pos="4680"/>
        <w:tab w:val="right" w:pos="9360"/>
      </w:tabs>
      <w:spacing w:after="0" w:line="240" w:lineRule="auto"/>
    </w:pPr>
    <w:rPr>
      <w:lang w:val="en-US" w:eastAsia="en-US"/>
    </w:rPr>
  </w:style>
  <w:style w:type="character" w:customStyle="1" w:styleId="YltunnisteChar">
    <w:name w:val="Ylätunniste Char"/>
    <w:basedOn w:val="Kappaleenoletusfontti"/>
    <w:link w:val="Yltunniste"/>
    <w:uiPriority w:val="99"/>
    <w:rsid w:val="00511C2E"/>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B054032608AA8544A2308B5EA6420648" ma:contentTypeVersion="6" ma:contentTypeDescription="Luo uusi asiakirja." ma:contentTypeScope="" ma:versionID="254334e3ab13e74d964a86c38a202ad2">
  <xsd:schema xmlns:xsd="http://www.w3.org/2001/XMLSchema" xmlns:xs="http://www.w3.org/2001/XMLSchema" xmlns:p="http://schemas.microsoft.com/office/2006/metadata/properties" xmlns:ns2="8ccecb44-1966-4758-bf20-049ebb7a10fc" targetNamespace="http://schemas.microsoft.com/office/2006/metadata/properties" ma:root="true" ma:fieldsID="630e961fe4ebdb8819ea798047c2d87e" ns2:_="">
    <xsd:import namespace="8ccecb44-1966-4758-bf20-049ebb7a10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cb44-1966-4758-bf20-049ebb7a1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3D71C-11CB-42AB-AC2E-D3B0467D9BC2}">
  <ds:schemaRefs>
    <ds:schemaRef ds:uri="http://schemas.microsoft.com/sharepoint/v3/contenttype/forms"/>
  </ds:schemaRefs>
</ds:datastoreItem>
</file>

<file path=customXml/itemProps2.xml><?xml version="1.0" encoding="utf-8"?>
<ds:datastoreItem xmlns:ds="http://schemas.openxmlformats.org/officeDocument/2006/customXml" ds:itemID="{AA98FF74-E6EE-4CB1-AC14-FD0008B2AB9B}">
  <ds:schemaRefs>
    <ds:schemaRef ds:uri="http://schemas.microsoft.com/office/2006/metadata/properties"/>
    <ds:schemaRef ds:uri="8ccecb44-1966-4758-bf20-049ebb7a10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E0014A6-E334-44B8-AF67-17685AE6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ecb44-1966-4758-bf20-049ebb7a1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6266</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3</cp:revision>
  <dcterms:created xsi:type="dcterms:W3CDTF">2021-02-11T11:15:00Z</dcterms:created>
  <dcterms:modified xsi:type="dcterms:W3CDTF">2021-02-12T10:48:00Z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0x010100B054032608AA8544A2308B5EA6420648</vt:lpwstr>
  </property>
</Properties>
</file>