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8D0574" w:rsidRPr="005F28D6" w14:paraId="573A022A" w14:textId="77777777" w:rsidTr="002C6698">
        <w:tc>
          <w:tcPr>
            <w:tcW w:w="2093" w:type="dxa"/>
            <w:shd w:val="clear" w:color="auto" w:fill="31A3B5"/>
          </w:tcPr>
          <w:p w14:paraId="573A0227" w14:textId="77777777" w:rsidR="008D0574" w:rsidRPr="005F28D6" w:rsidRDefault="008D0574" w:rsidP="002C6698">
            <w:pPr>
              <w:spacing w:before="240"/>
              <w:rPr>
                <w:rFonts w:ascii="Tahoma" w:eastAsia="Calibri" w:hAnsi="Tahoma" w:cs="Tahoma"/>
                <w:b/>
                <w:color w:val="FFFFFF"/>
                <w:sz w:val="20"/>
                <w:szCs w:val="20"/>
              </w:rPr>
            </w:pPr>
          </w:p>
        </w:tc>
        <w:tc>
          <w:tcPr>
            <w:tcW w:w="1134" w:type="dxa"/>
            <w:shd w:val="clear" w:color="auto" w:fill="31A3B5"/>
          </w:tcPr>
          <w:p w14:paraId="573A0228" w14:textId="77777777" w:rsidR="008D0574" w:rsidRPr="005F28D6" w:rsidRDefault="008D0574" w:rsidP="002C6698">
            <w:pPr>
              <w:spacing w:before="240"/>
              <w:rPr>
                <w:rFonts w:ascii="Tahoma" w:eastAsia="Calibri" w:hAnsi="Tahoma" w:cs="Tahoma"/>
                <w:b/>
                <w:color w:val="FFFFFF"/>
                <w:sz w:val="20"/>
                <w:szCs w:val="20"/>
              </w:rPr>
            </w:pPr>
            <w:r w:rsidRPr="005F28D6">
              <w:rPr>
                <w:rFonts w:ascii="Tahoma" w:eastAsia="Calibri" w:hAnsi="Tahoma" w:cs="Tahoma"/>
                <w:b/>
                <w:color w:val="FFFFFF"/>
                <w:sz w:val="20"/>
                <w:szCs w:val="20"/>
              </w:rPr>
              <w:t xml:space="preserve">Laajuus </w:t>
            </w:r>
          </w:p>
        </w:tc>
        <w:tc>
          <w:tcPr>
            <w:tcW w:w="6551" w:type="dxa"/>
            <w:shd w:val="clear" w:color="auto" w:fill="31A3B5"/>
          </w:tcPr>
          <w:p w14:paraId="573A0229" w14:textId="77777777" w:rsidR="008D0574" w:rsidRPr="005F28D6" w:rsidRDefault="008D0574" w:rsidP="002C6698">
            <w:pPr>
              <w:spacing w:before="240"/>
              <w:rPr>
                <w:rFonts w:ascii="Tahoma" w:eastAsia="Calibri" w:hAnsi="Tahoma" w:cs="Tahoma"/>
                <w:b/>
                <w:color w:val="FFFFFF"/>
                <w:sz w:val="20"/>
                <w:szCs w:val="20"/>
              </w:rPr>
            </w:pPr>
            <w:r w:rsidRPr="005F28D6">
              <w:rPr>
                <w:rFonts w:ascii="Tahoma" w:eastAsia="Calibri" w:hAnsi="Tahoma" w:cs="Tahoma"/>
                <w:b/>
                <w:color w:val="FFFFFF"/>
                <w:sz w:val="20"/>
                <w:szCs w:val="20"/>
              </w:rPr>
              <w:t>Luonnehdinta opinnoista lyhyesti</w:t>
            </w:r>
          </w:p>
        </w:tc>
      </w:tr>
      <w:tr w:rsidR="008D0574" w:rsidRPr="005F28D6" w14:paraId="573A022E" w14:textId="77777777" w:rsidTr="002C6698">
        <w:tc>
          <w:tcPr>
            <w:tcW w:w="2093" w:type="dxa"/>
          </w:tcPr>
          <w:p w14:paraId="573A022B"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 xml:space="preserve">Perusopinnot  </w:t>
            </w:r>
            <w:r w:rsidRPr="005F28D6">
              <w:rPr>
                <w:rFonts w:ascii="Tahoma" w:eastAsia="Calibri" w:hAnsi="Tahoma" w:cs="Tahoma"/>
                <w:b/>
                <w:sz w:val="20"/>
                <w:szCs w:val="20"/>
              </w:rPr>
              <w:tab/>
            </w:r>
          </w:p>
        </w:tc>
        <w:tc>
          <w:tcPr>
            <w:tcW w:w="1134" w:type="dxa"/>
          </w:tcPr>
          <w:p w14:paraId="573A022C" w14:textId="47EC8165" w:rsidR="008D0574" w:rsidRPr="005F28D6" w:rsidRDefault="00DE7F2C" w:rsidP="002C6698">
            <w:pPr>
              <w:spacing w:before="240"/>
              <w:rPr>
                <w:rFonts w:ascii="Tahoma" w:eastAsia="Calibri" w:hAnsi="Tahoma" w:cs="Tahoma"/>
                <w:sz w:val="20"/>
                <w:szCs w:val="20"/>
              </w:rPr>
            </w:pPr>
            <w:r>
              <w:rPr>
                <w:rFonts w:ascii="Tahoma" w:eastAsia="Calibri" w:hAnsi="Tahoma" w:cs="Tahoma"/>
                <w:sz w:val="20"/>
                <w:szCs w:val="20"/>
              </w:rPr>
              <w:t>30</w:t>
            </w:r>
          </w:p>
        </w:tc>
        <w:tc>
          <w:tcPr>
            <w:tcW w:w="6551" w:type="dxa"/>
          </w:tcPr>
          <w:p w14:paraId="4DCE191C" w14:textId="77777777" w:rsidR="00DE7F2C" w:rsidRDefault="00DE7F2C" w:rsidP="00DE7F2C">
            <w:pPr>
              <w:rPr>
                <w:rFonts w:ascii="Tahoma" w:hAnsi="Tahoma" w:cs="Tahoma"/>
                <w:iCs/>
                <w:sz w:val="20"/>
                <w:szCs w:val="20"/>
              </w:rPr>
            </w:pPr>
          </w:p>
          <w:p w14:paraId="573A022D" w14:textId="69571BB0" w:rsidR="002B1B94" w:rsidRPr="00DE7F2C" w:rsidRDefault="00DE7F2C" w:rsidP="00DE7F2C">
            <w:pPr>
              <w:rPr>
                <w:rFonts w:ascii="Tahoma" w:eastAsia="Calibri" w:hAnsi="Tahoma" w:cs="Tahoma"/>
                <w:sz w:val="20"/>
                <w:szCs w:val="20"/>
              </w:rPr>
            </w:pPr>
            <w:r w:rsidRPr="00DE7F2C">
              <w:rPr>
                <w:rFonts w:ascii="Tahoma" w:hAnsi="Tahoma" w:cs="Tahoma"/>
                <w:iCs/>
                <w:sz w:val="20"/>
                <w:szCs w:val="20"/>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8D0574" w:rsidRPr="005F28D6" w14:paraId="573A0233" w14:textId="77777777" w:rsidTr="002C6698">
        <w:tc>
          <w:tcPr>
            <w:tcW w:w="2093" w:type="dxa"/>
          </w:tcPr>
          <w:p w14:paraId="573A022F"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Ammattiopinnot, teoriaopinnot</w:t>
            </w:r>
          </w:p>
        </w:tc>
        <w:tc>
          <w:tcPr>
            <w:tcW w:w="1134" w:type="dxa"/>
          </w:tcPr>
          <w:p w14:paraId="573A0230" w14:textId="77777777" w:rsidR="008D0574" w:rsidRPr="005F28D6" w:rsidRDefault="008D0574" w:rsidP="002C6698">
            <w:pPr>
              <w:rPr>
                <w:rFonts w:ascii="Tahoma" w:eastAsia="Calibri" w:hAnsi="Tahoma" w:cs="Tahoma"/>
                <w:sz w:val="20"/>
                <w:szCs w:val="20"/>
              </w:rPr>
            </w:pPr>
          </w:p>
          <w:p w14:paraId="573A0231" w14:textId="47299CBB" w:rsidR="008D0574" w:rsidRPr="005F28D6" w:rsidRDefault="00DE7F2C" w:rsidP="002C6698">
            <w:pPr>
              <w:rPr>
                <w:rFonts w:ascii="Tahoma" w:eastAsia="Calibri" w:hAnsi="Tahoma" w:cs="Tahoma"/>
                <w:sz w:val="20"/>
                <w:szCs w:val="20"/>
              </w:rPr>
            </w:pPr>
            <w:r>
              <w:rPr>
                <w:rFonts w:ascii="Tahoma" w:eastAsia="Calibri" w:hAnsi="Tahoma" w:cs="Tahoma"/>
                <w:sz w:val="20"/>
                <w:szCs w:val="20"/>
              </w:rPr>
              <w:t>110</w:t>
            </w:r>
          </w:p>
        </w:tc>
        <w:tc>
          <w:tcPr>
            <w:tcW w:w="6551" w:type="dxa"/>
          </w:tcPr>
          <w:p w14:paraId="573A0232" w14:textId="16E7820E" w:rsidR="002B1B94" w:rsidRPr="005F28D6" w:rsidRDefault="008D0574" w:rsidP="002B1B94">
            <w:pPr>
              <w:spacing w:before="240"/>
              <w:rPr>
                <w:rFonts w:ascii="Tahoma" w:eastAsia="Calibri" w:hAnsi="Tahoma" w:cs="Tahoma"/>
                <w:sz w:val="20"/>
                <w:szCs w:val="20"/>
              </w:rPr>
            </w:pPr>
            <w:r w:rsidRPr="005F28D6">
              <w:rPr>
                <w:rFonts w:ascii="Tahoma" w:eastAsia="Calibri" w:hAnsi="Tahoma" w:cs="Tahoma"/>
                <w:sz w:val="20"/>
                <w:szCs w:val="20"/>
              </w:rPr>
              <w:t>Ammattiopinnoissa opiskelija perehtyy ensihoitajan ja sairaanhoitajan tehtäväalueen keskeisiin ongelmakokonaisuuksiin ja sovellutuksiin sekä niiden</w:t>
            </w:r>
            <w:r w:rsidR="002B1B94" w:rsidRPr="005F28D6">
              <w:rPr>
                <w:rFonts w:ascii="Tahoma" w:eastAsia="Calibri" w:hAnsi="Tahoma" w:cs="Tahoma"/>
                <w:sz w:val="20"/>
                <w:szCs w:val="20"/>
              </w:rPr>
              <w:t xml:space="preserve"> tieteellisiin perusteisiin, jotta</w:t>
            </w:r>
            <w:r w:rsidRPr="005F28D6">
              <w:rPr>
                <w:rFonts w:ascii="Tahoma" w:eastAsia="Calibri" w:hAnsi="Tahoma" w:cs="Tahoma"/>
                <w:sz w:val="20"/>
                <w:szCs w:val="20"/>
              </w:rPr>
              <w:t xml:space="preserve"> hän kykenee valmistuttuaan työsken</w:t>
            </w:r>
            <w:r w:rsidR="00207786">
              <w:rPr>
                <w:rFonts w:ascii="Tahoma" w:eastAsia="Calibri" w:hAnsi="Tahoma" w:cs="Tahoma"/>
                <w:sz w:val="20"/>
                <w:szCs w:val="20"/>
              </w:rPr>
              <w:t>telemään itsenäisesti ensihoito-</w:t>
            </w:r>
            <w:r w:rsidRPr="005F28D6">
              <w:rPr>
                <w:rFonts w:ascii="Tahoma" w:eastAsia="Calibri" w:hAnsi="Tahoma" w:cs="Tahoma"/>
                <w:sz w:val="20"/>
                <w:szCs w:val="20"/>
              </w:rPr>
              <w:t xml:space="preserve"> ja hoitotyön asiantuntijana</w:t>
            </w:r>
            <w:r w:rsidR="002B1B94" w:rsidRPr="005F28D6">
              <w:rPr>
                <w:rFonts w:ascii="Tahoma" w:eastAsia="Calibri" w:hAnsi="Tahoma" w:cs="Tahoma"/>
                <w:sz w:val="20"/>
                <w:szCs w:val="20"/>
              </w:rPr>
              <w:t xml:space="preserve">, </w:t>
            </w:r>
            <w:r w:rsidRPr="005F28D6">
              <w:rPr>
                <w:rFonts w:ascii="Tahoma" w:eastAsia="Calibri" w:hAnsi="Tahoma" w:cs="Tahoma"/>
                <w:sz w:val="20"/>
                <w:szCs w:val="20"/>
              </w:rPr>
              <w:t>esimiestehtävissä, kehitystehtävissä ja yrittäjänä.</w:t>
            </w:r>
          </w:p>
        </w:tc>
      </w:tr>
      <w:tr w:rsidR="008D0574" w:rsidRPr="005F28D6" w14:paraId="573A0239" w14:textId="77777777" w:rsidTr="002C6698">
        <w:tc>
          <w:tcPr>
            <w:tcW w:w="2093" w:type="dxa"/>
          </w:tcPr>
          <w:p w14:paraId="573A0234"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Ammattiopinnot, harjoittelu</w:t>
            </w:r>
          </w:p>
        </w:tc>
        <w:tc>
          <w:tcPr>
            <w:tcW w:w="1134" w:type="dxa"/>
          </w:tcPr>
          <w:p w14:paraId="573A0235" w14:textId="77777777" w:rsidR="008D0574" w:rsidRPr="005F28D6" w:rsidRDefault="008D0574" w:rsidP="002C6698">
            <w:pPr>
              <w:rPr>
                <w:rFonts w:ascii="Tahoma" w:eastAsia="Calibri" w:hAnsi="Tahoma" w:cs="Tahoma"/>
                <w:sz w:val="20"/>
                <w:szCs w:val="20"/>
              </w:rPr>
            </w:pPr>
          </w:p>
          <w:p w14:paraId="573A0236" w14:textId="77777777" w:rsidR="008D0574" w:rsidRPr="005F28D6" w:rsidRDefault="008D0574" w:rsidP="002C6698">
            <w:pPr>
              <w:rPr>
                <w:rFonts w:ascii="Tahoma" w:eastAsia="Calibri" w:hAnsi="Tahoma" w:cs="Tahoma"/>
                <w:sz w:val="20"/>
                <w:szCs w:val="20"/>
              </w:rPr>
            </w:pPr>
            <w:r w:rsidRPr="005F28D6">
              <w:rPr>
                <w:rFonts w:ascii="Tahoma" w:eastAsia="Calibri" w:hAnsi="Tahoma" w:cs="Tahoma"/>
                <w:sz w:val="20"/>
                <w:szCs w:val="20"/>
              </w:rPr>
              <w:t>75</w:t>
            </w:r>
          </w:p>
          <w:p w14:paraId="573A0237" w14:textId="77777777" w:rsidR="008D0574" w:rsidRPr="005F28D6" w:rsidRDefault="008D0574" w:rsidP="002C6698">
            <w:pPr>
              <w:rPr>
                <w:rFonts w:ascii="Tahoma" w:eastAsia="Calibri" w:hAnsi="Tahoma" w:cs="Tahoma"/>
                <w:sz w:val="20"/>
                <w:szCs w:val="20"/>
              </w:rPr>
            </w:pPr>
          </w:p>
        </w:tc>
        <w:tc>
          <w:tcPr>
            <w:tcW w:w="6551" w:type="dxa"/>
          </w:tcPr>
          <w:p w14:paraId="573A0238" w14:textId="77777777" w:rsidR="002B1B94" w:rsidRPr="005F28D6" w:rsidRDefault="008D0574" w:rsidP="002B1B94">
            <w:pPr>
              <w:autoSpaceDE w:val="0"/>
              <w:autoSpaceDN w:val="0"/>
              <w:spacing w:before="240"/>
              <w:rPr>
                <w:rFonts w:ascii="Tahoma" w:eastAsia="Calibri" w:hAnsi="Tahoma" w:cs="Tahoma"/>
                <w:iCs/>
                <w:sz w:val="20"/>
                <w:szCs w:val="20"/>
              </w:rPr>
            </w:pPr>
            <w:r w:rsidRPr="005F28D6">
              <w:rPr>
                <w:rFonts w:ascii="Tahoma" w:eastAsia="Calibri"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8D0574" w:rsidRPr="005F28D6" w14:paraId="573A0243" w14:textId="77777777" w:rsidTr="002C6698">
        <w:tc>
          <w:tcPr>
            <w:tcW w:w="2093" w:type="dxa"/>
          </w:tcPr>
          <w:p w14:paraId="573A023A"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Opinnäytetyö</w:t>
            </w:r>
          </w:p>
          <w:p w14:paraId="573A023B" w14:textId="77777777" w:rsidR="008D0574" w:rsidRPr="005F28D6" w:rsidRDefault="008D0574" w:rsidP="002C6698">
            <w:pPr>
              <w:spacing w:before="240"/>
              <w:rPr>
                <w:rFonts w:ascii="Tahoma" w:eastAsia="Calibri" w:hAnsi="Tahoma" w:cs="Tahoma"/>
                <w:sz w:val="20"/>
                <w:szCs w:val="20"/>
              </w:rPr>
            </w:pPr>
          </w:p>
        </w:tc>
        <w:tc>
          <w:tcPr>
            <w:tcW w:w="1134" w:type="dxa"/>
          </w:tcPr>
          <w:p w14:paraId="573A023C" w14:textId="77777777" w:rsidR="008D0574" w:rsidRPr="005F28D6" w:rsidRDefault="008D0574" w:rsidP="002C6698">
            <w:pPr>
              <w:spacing w:before="240"/>
              <w:rPr>
                <w:rFonts w:ascii="Tahoma" w:eastAsia="Calibri" w:hAnsi="Tahoma" w:cs="Tahoma"/>
                <w:sz w:val="20"/>
                <w:szCs w:val="20"/>
              </w:rPr>
            </w:pPr>
            <w:r w:rsidRPr="005F28D6">
              <w:rPr>
                <w:rFonts w:ascii="Tahoma" w:eastAsia="Calibri" w:hAnsi="Tahoma" w:cs="Tahoma"/>
                <w:sz w:val="20"/>
                <w:szCs w:val="20"/>
              </w:rPr>
              <w:t>15 op</w:t>
            </w:r>
          </w:p>
        </w:tc>
        <w:tc>
          <w:tcPr>
            <w:tcW w:w="6551" w:type="dxa"/>
          </w:tcPr>
          <w:p w14:paraId="4C206C64" w14:textId="12EB0C67" w:rsidR="00092930" w:rsidRDefault="00092930" w:rsidP="004421A6">
            <w:pPr>
              <w:spacing w:after="0" w:line="240" w:lineRule="auto"/>
              <w:contextualSpacing/>
              <w:rPr>
                <w:rFonts w:ascii="Tahoma" w:hAnsi="Tahoma" w:cs="Tahoma"/>
                <w:sz w:val="20"/>
                <w:szCs w:val="20"/>
              </w:rPr>
            </w:pPr>
            <w:r w:rsidRPr="00092930">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23DEC112" w14:textId="77777777" w:rsidR="00092930" w:rsidRDefault="00092930" w:rsidP="00092930">
            <w:pPr>
              <w:pStyle w:val="Luettelokappale"/>
              <w:numPr>
                <w:ilvl w:val="0"/>
                <w:numId w:val="2"/>
              </w:numPr>
              <w:spacing w:after="0" w:line="240" w:lineRule="auto"/>
              <w:rPr>
                <w:rFonts w:ascii="Tahoma" w:hAnsi="Tahoma" w:cs="Tahoma"/>
                <w:sz w:val="20"/>
                <w:szCs w:val="20"/>
              </w:rPr>
            </w:pPr>
            <w:r w:rsidRPr="00092930">
              <w:rPr>
                <w:rFonts w:ascii="Tahoma" w:hAnsi="Tahoma" w:cs="Tahoma"/>
                <w:sz w:val="20"/>
                <w:szCs w:val="20"/>
              </w:rPr>
              <w:t xml:space="preserve">opinnäytetyöidean ja työelämäyhteyden hakemisesta </w:t>
            </w:r>
          </w:p>
          <w:p w14:paraId="02236F8C" w14:textId="77777777" w:rsidR="00092930" w:rsidRDefault="00092930" w:rsidP="00092930">
            <w:pPr>
              <w:pStyle w:val="Luettelokappale"/>
              <w:numPr>
                <w:ilvl w:val="0"/>
                <w:numId w:val="2"/>
              </w:numPr>
              <w:spacing w:after="0" w:line="240" w:lineRule="auto"/>
              <w:rPr>
                <w:rFonts w:ascii="Tahoma" w:hAnsi="Tahoma" w:cs="Tahoma"/>
                <w:sz w:val="20"/>
                <w:szCs w:val="20"/>
              </w:rPr>
            </w:pPr>
            <w:r w:rsidRPr="00092930">
              <w:rPr>
                <w:rFonts w:ascii="Tahoma" w:hAnsi="Tahoma" w:cs="Tahoma"/>
                <w:sz w:val="20"/>
                <w:szCs w:val="20"/>
              </w:rPr>
              <w:t>opinnäytetyön tehtäväalueeseen perehtymisestä ja tehtävän asettamisesta</w:t>
            </w:r>
          </w:p>
          <w:p w14:paraId="3CB41186" w14:textId="77777777" w:rsidR="00092930" w:rsidRDefault="00092930" w:rsidP="00092930">
            <w:pPr>
              <w:pStyle w:val="Luettelokappale"/>
              <w:numPr>
                <w:ilvl w:val="0"/>
                <w:numId w:val="2"/>
              </w:numPr>
              <w:spacing w:after="0" w:line="240" w:lineRule="auto"/>
              <w:rPr>
                <w:rFonts w:ascii="Tahoma" w:hAnsi="Tahoma" w:cs="Tahoma"/>
                <w:sz w:val="20"/>
                <w:szCs w:val="20"/>
              </w:rPr>
            </w:pPr>
            <w:r w:rsidRPr="00092930">
              <w:rPr>
                <w:rFonts w:ascii="Tahoma" w:hAnsi="Tahoma" w:cs="Tahoma"/>
                <w:sz w:val="20"/>
                <w:szCs w:val="20"/>
              </w:rPr>
              <w:t>asetetun tehtävän suorittamisesta ja raportoinnista</w:t>
            </w:r>
          </w:p>
          <w:p w14:paraId="10DB23A7" w14:textId="331118E9" w:rsidR="00092930" w:rsidRDefault="00092930" w:rsidP="00092930">
            <w:pPr>
              <w:pStyle w:val="Luettelokappale"/>
              <w:numPr>
                <w:ilvl w:val="0"/>
                <w:numId w:val="2"/>
              </w:numPr>
              <w:spacing w:after="0" w:line="240" w:lineRule="auto"/>
              <w:rPr>
                <w:rFonts w:ascii="Tahoma" w:hAnsi="Tahoma" w:cs="Tahoma"/>
                <w:sz w:val="20"/>
                <w:szCs w:val="20"/>
              </w:rPr>
            </w:pPr>
            <w:r w:rsidRPr="00092930">
              <w:rPr>
                <w:rFonts w:ascii="Tahoma" w:hAnsi="Tahoma" w:cs="Tahoma"/>
                <w:sz w:val="20"/>
                <w:szCs w:val="20"/>
              </w:rPr>
              <w:t xml:space="preserve">opinnäytetyön viimeistelystä ja tiedotusmateriaalin laatimisesta. </w:t>
            </w:r>
          </w:p>
          <w:p w14:paraId="31F58387" w14:textId="77777777" w:rsidR="00092930" w:rsidRDefault="00092930" w:rsidP="00092930">
            <w:pPr>
              <w:pStyle w:val="Luettelokappale"/>
              <w:spacing w:after="0" w:line="240" w:lineRule="auto"/>
              <w:rPr>
                <w:rFonts w:ascii="Tahoma" w:hAnsi="Tahoma" w:cs="Tahoma"/>
                <w:sz w:val="20"/>
                <w:szCs w:val="20"/>
              </w:rPr>
            </w:pPr>
            <w:bookmarkStart w:id="0" w:name="_GoBack"/>
            <w:bookmarkEnd w:id="0"/>
          </w:p>
          <w:p w14:paraId="5E477740" w14:textId="13251674" w:rsidR="00092930" w:rsidRPr="00092930" w:rsidRDefault="00092930" w:rsidP="00092930">
            <w:pPr>
              <w:spacing w:after="0" w:line="240" w:lineRule="auto"/>
              <w:rPr>
                <w:rFonts w:ascii="Tahoma" w:hAnsi="Tahoma" w:cs="Tahoma"/>
                <w:sz w:val="20"/>
                <w:szCs w:val="20"/>
              </w:rPr>
            </w:pPr>
            <w:r w:rsidRPr="00092930">
              <w:rPr>
                <w:rFonts w:ascii="Tahoma" w:hAnsi="Tahoma" w:cs="Tahoma"/>
                <w:sz w:val="20"/>
                <w:szCs w:val="20"/>
              </w:rPr>
              <w:t>Opinnäytetyö tarjoaa joustavan portin siirtyä työelämään ja hyvän mahdollisuuden verkottua omalla alalla.</w:t>
            </w:r>
          </w:p>
          <w:p w14:paraId="573A0242" w14:textId="4D96F3BB" w:rsidR="002B1B94" w:rsidRPr="00092930" w:rsidRDefault="002B1B94" w:rsidP="004421A6">
            <w:pPr>
              <w:spacing w:after="0" w:line="240" w:lineRule="auto"/>
              <w:contextualSpacing/>
              <w:rPr>
                <w:rFonts w:ascii="Tahoma" w:eastAsia="Calibri" w:hAnsi="Tahoma" w:cs="Tahoma"/>
                <w:color w:val="4BACC6"/>
                <w:sz w:val="20"/>
                <w:szCs w:val="20"/>
              </w:rPr>
            </w:pPr>
          </w:p>
        </w:tc>
      </w:tr>
      <w:tr w:rsidR="008D0574" w:rsidRPr="005F28D6" w14:paraId="573A0248" w14:textId="77777777" w:rsidTr="002C6698">
        <w:tc>
          <w:tcPr>
            <w:tcW w:w="2093" w:type="dxa"/>
          </w:tcPr>
          <w:p w14:paraId="573A0244"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Valinnaiset opinnot</w:t>
            </w:r>
          </w:p>
          <w:p w14:paraId="573A0245" w14:textId="77777777" w:rsidR="008D0574" w:rsidRPr="005F28D6" w:rsidRDefault="008D0574" w:rsidP="002C6698">
            <w:pPr>
              <w:spacing w:before="240"/>
              <w:rPr>
                <w:rFonts w:ascii="Tahoma" w:eastAsia="Calibri" w:hAnsi="Tahoma" w:cs="Tahoma"/>
                <w:sz w:val="20"/>
                <w:szCs w:val="20"/>
              </w:rPr>
            </w:pPr>
          </w:p>
        </w:tc>
        <w:tc>
          <w:tcPr>
            <w:tcW w:w="1134" w:type="dxa"/>
          </w:tcPr>
          <w:p w14:paraId="573A0246" w14:textId="02AF37DC" w:rsidR="008D0574" w:rsidRPr="005F28D6" w:rsidRDefault="005F28D6" w:rsidP="002C6698">
            <w:pPr>
              <w:spacing w:before="240"/>
              <w:rPr>
                <w:rFonts w:ascii="Tahoma" w:eastAsia="Calibri" w:hAnsi="Tahoma" w:cs="Tahoma"/>
                <w:sz w:val="20"/>
                <w:szCs w:val="20"/>
              </w:rPr>
            </w:pPr>
            <w:r>
              <w:rPr>
                <w:rFonts w:ascii="Tahoma" w:eastAsia="Calibri" w:hAnsi="Tahoma" w:cs="Tahoma"/>
                <w:sz w:val="20"/>
                <w:szCs w:val="20"/>
              </w:rPr>
              <w:t>10</w:t>
            </w:r>
            <w:r w:rsidR="008D0574" w:rsidRPr="005F28D6">
              <w:rPr>
                <w:rFonts w:ascii="Tahoma" w:eastAsia="Calibri" w:hAnsi="Tahoma" w:cs="Tahoma"/>
                <w:sz w:val="20"/>
                <w:szCs w:val="20"/>
              </w:rPr>
              <w:t xml:space="preserve"> op</w:t>
            </w:r>
          </w:p>
        </w:tc>
        <w:tc>
          <w:tcPr>
            <w:tcW w:w="6551" w:type="dxa"/>
          </w:tcPr>
          <w:p w14:paraId="573A0247" w14:textId="65D28B91" w:rsidR="008D0574" w:rsidRPr="005F28D6" w:rsidRDefault="008D0574" w:rsidP="00207786">
            <w:pPr>
              <w:spacing w:before="240"/>
              <w:rPr>
                <w:rFonts w:ascii="Tahoma" w:eastAsia="Calibri" w:hAnsi="Tahoma" w:cs="Tahoma"/>
                <w:sz w:val="20"/>
                <w:szCs w:val="20"/>
              </w:rPr>
            </w:pPr>
            <w:r w:rsidRPr="005F28D6">
              <w:rPr>
                <w:rFonts w:ascii="Tahoma" w:hAnsi="Tahoma" w:cs="Tahoma"/>
                <w:sz w:val="20"/>
                <w:szCs w:val="20"/>
              </w:rPr>
              <w:t xml:space="preserve">Valinnaiset opinnot </w:t>
            </w:r>
            <w:r w:rsidR="00207786">
              <w:rPr>
                <w:rFonts w:ascii="Tahoma" w:hAnsi="Tahoma" w:cs="Tahoma"/>
                <w:sz w:val="20"/>
                <w:szCs w:val="20"/>
              </w:rPr>
              <w:t>suuntaavat ja tukevat asiantuntijuuden kehittymistä opiskelijan kiinnostuksen mukaan. Opiskelija voi valita opintoja myös Savonian yhteisistä opintokokonaisuuksista ja muista tutkinto-ohjelmista tai sisällyttää tutkintoonsa muualla suoritettuja saman tasoisia opintoja.</w:t>
            </w:r>
          </w:p>
        </w:tc>
      </w:tr>
      <w:tr w:rsidR="008D0574" w:rsidRPr="005F28D6" w14:paraId="573A024C" w14:textId="77777777" w:rsidTr="002C6698">
        <w:tc>
          <w:tcPr>
            <w:tcW w:w="2093" w:type="dxa"/>
          </w:tcPr>
          <w:p w14:paraId="573A0249"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Yhteensä</w:t>
            </w:r>
          </w:p>
        </w:tc>
        <w:tc>
          <w:tcPr>
            <w:tcW w:w="1134" w:type="dxa"/>
          </w:tcPr>
          <w:p w14:paraId="573A024A" w14:textId="77777777" w:rsidR="008D0574" w:rsidRPr="005F28D6" w:rsidRDefault="008D0574" w:rsidP="002C6698">
            <w:pPr>
              <w:spacing w:before="240"/>
              <w:rPr>
                <w:rFonts w:ascii="Tahoma" w:eastAsia="Calibri" w:hAnsi="Tahoma" w:cs="Tahoma"/>
                <w:sz w:val="20"/>
                <w:szCs w:val="20"/>
              </w:rPr>
            </w:pPr>
            <w:r w:rsidRPr="005F28D6">
              <w:rPr>
                <w:rFonts w:ascii="Tahoma" w:eastAsia="Calibri" w:hAnsi="Tahoma" w:cs="Tahoma"/>
                <w:sz w:val="20"/>
                <w:szCs w:val="20"/>
              </w:rPr>
              <w:t>240 op</w:t>
            </w:r>
          </w:p>
        </w:tc>
        <w:tc>
          <w:tcPr>
            <w:tcW w:w="6551" w:type="dxa"/>
          </w:tcPr>
          <w:p w14:paraId="573A024B" w14:textId="77777777" w:rsidR="008D0574" w:rsidRPr="005F28D6" w:rsidRDefault="008D0574" w:rsidP="002C6698">
            <w:pPr>
              <w:spacing w:before="240"/>
              <w:rPr>
                <w:rFonts w:ascii="Tahoma" w:eastAsia="Calibri" w:hAnsi="Tahoma" w:cs="Tahoma"/>
                <w:sz w:val="20"/>
                <w:szCs w:val="20"/>
              </w:rPr>
            </w:pPr>
          </w:p>
        </w:tc>
      </w:tr>
    </w:tbl>
    <w:p w14:paraId="573A024D" w14:textId="77777777" w:rsidR="00A15669" w:rsidRPr="005F28D6" w:rsidRDefault="00A15669">
      <w:pPr>
        <w:rPr>
          <w:rFonts w:ascii="Tahoma" w:hAnsi="Tahoma" w:cs="Tahoma"/>
          <w:sz w:val="20"/>
          <w:szCs w:val="20"/>
        </w:rPr>
      </w:pPr>
    </w:p>
    <w:sectPr w:rsidR="00A15669" w:rsidRPr="005F28D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D7CCA"/>
    <w:multiLevelType w:val="hybridMultilevel"/>
    <w:tmpl w:val="2504862A"/>
    <w:lvl w:ilvl="0" w:tplc="6C965626">
      <w:start w:val="4"/>
      <w:numFmt w:val="bullet"/>
      <w:lvlText w:val="-"/>
      <w:lvlJc w:val="left"/>
      <w:pPr>
        <w:ind w:left="720" w:hanging="360"/>
      </w:pPr>
      <w:rPr>
        <w:rFonts w:ascii="Garamond" w:eastAsia="Times New Roman" w:hAnsi="Garamond"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6A31E3"/>
    <w:multiLevelType w:val="hybridMultilevel"/>
    <w:tmpl w:val="9D8A56A8"/>
    <w:lvl w:ilvl="0" w:tplc="DAEC0AB8">
      <w:start w:val="15"/>
      <w:numFmt w:val="bullet"/>
      <w:lvlText w:val="-"/>
      <w:lvlJc w:val="left"/>
      <w:pPr>
        <w:ind w:left="720" w:hanging="360"/>
      </w:pPr>
      <w:rPr>
        <w:rFonts w:ascii="Tahoma" w:eastAsiaTheme="minorHAnsi"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74"/>
    <w:rsid w:val="00092930"/>
    <w:rsid w:val="00207786"/>
    <w:rsid w:val="002B1B94"/>
    <w:rsid w:val="004421A6"/>
    <w:rsid w:val="005F28D6"/>
    <w:rsid w:val="00733137"/>
    <w:rsid w:val="008D0574"/>
    <w:rsid w:val="00A15669"/>
    <w:rsid w:val="00A22027"/>
    <w:rsid w:val="00DE7F2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0227"/>
  <w15:docId w15:val="{DE1151DD-07B3-4EC6-B6DF-1BB57BA9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D057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92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3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3282B8C9FFAC6D4BA97D9C4E24BBE54A" ma:contentTypeVersion="13" ma:contentTypeDescription="Luo uusi asiakirja." ma:contentTypeScope="" ma:versionID="4002038df7b2a2cd19055a76e6d19646">
  <xsd:schema xmlns:xsd="http://www.w3.org/2001/XMLSchema" xmlns:xs="http://www.w3.org/2001/XMLSchema" xmlns:p="http://schemas.microsoft.com/office/2006/metadata/properties" xmlns:ns3="a2f41a69-bbcc-4550-8070-38b19bf27690" xmlns:ns4="729cc334-cccb-49ad-ac57-bc384714c602" targetNamespace="http://schemas.microsoft.com/office/2006/metadata/properties" ma:root="true" ma:fieldsID="b1e5b39092aa2edd299afaf463ff8791" ns3:_="" ns4:_="">
    <xsd:import namespace="a2f41a69-bbcc-4550-8070-38b19bf27690"/>
    <xsd:import namespace="729cc334-cccb-49ad-ac57-bc384714c6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41a69-bbcc-4550-8070-38b19bf276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9cc334-cccb-49ad-ac57-bc384714c602"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SharingHintHash" ma:index="20"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7BA4A-2F6B-4EF8-8394-896852C9D867}">
  <ds:schemaRefs>
    <ds:schemaRef ds:uri="a2f41a69-bbcc-4550-8070-38b19bf27690"/>
    <ds:schemaRef ds:uri="729cc334-cccb-49ad-ac57-bc384714c602"/>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282E124-56EB-4B8D-B2F0-2B758897E10F}">
  <ds:schemaRefs>
    <ds:schemaRef ds:uri="http://schemas.microsoft.com/sharepoint/v3/contenttype/forms"/>
  </ds:schemaRefs>
</ds:datastoreItem>
</file>

<file path=customXml/itemProps3.xml><?xml version="1.0" encoding="utf-8"?>
<ds:datastoreItem xmlns:ds="http://schemas.openxmlformats.org/officeDocument/2006/customXml" ds:itemID="{9BEFB258-3EF3-4DB1-B863-341586ED5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41a69-bbcc-4550-8070-38b19bf27690"/>
    <ds:schemaRef ds:uri="729cc334-cccb-49ad-ac57-bc384714c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2023</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Päivi Smahl</dc:creator>
  <cp:lastModifiedBy>Päivi Smahl</cp:lastModifiedBy>
  <cp:revision>2</cp:revision>
  <dcterms:created xsi:type="dcterms:W3CDTF">2020-11-26T13:52:00Z</dcterms:created>
  <dcterms:modified xsi:type="dcterms:W3CDTF">2020-11-26T13:52:00Z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0x0101003282B8C9FFAC6D4BA97D9C4E24BBE54A</vt:lpwstr>
  </property>
  <property fmtid="{D5CDD505-2E9C-101B-9397-08002B2CF9AE}" pid="3" name="_dlc_DocIdItemGuid">
    <vt:lpwstr>3cbc81a8-86e5-406d-b55f-7221b77b43de</vt:lpwstr>
  </property>
  <property fmtid="{D5CDD505-2E9C-101B-9397-08002B2CF9AE}" pid="4" name="Asiasanat">
    <vt:lpwstr/>
  </property>
</Properties>
</file>