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3C77F" w14:textId="77777777" w:rsidR="00DC25FC" w:rsidRPr="00DC25FC" w:rsidRDefault="00DC25FC" w:rsidP="00DC25FC">
      <w:pPr>
        <w:spacing w:before="300" w:after="150" w:line="240" w:lineRule="auto"/>
        <w:outlineLvl w:val="2"/>
        <w:rPr>
          <w:rFonts w:ascii="newjunesemiboldregular" w:eastAsia="Times New Roman" w:hAnsi="newjunesemiboldregular" w:cs="Arial"/>
          <w:color w:val="343434"/>
          <w:sz w:val="36"/>
          <w:szCs w:val="36"/>
          <w:lang w:val="fi-FI"/>
        </w:rPr>
      </w:pPr>
      <w:bookmarkStart w:id="0" w:name="_GoBack"/>
      <w:bookmarkEnd w:id="0"/>
      <w:r w:rsidRPr="00DC25FC">
        <w:rPr>
          <w:rFonts w:ascii="newjunesemiboldregular" w:eastAsia="Times New Roman" w:hAnsi="newjunesemiboldregular" w:cs="Arial"/>
          <w:color w:val="343434"/>
          <w:sz w:val="36"/>
          <w:szCs w:val="36"/>
          <w:lang w:val="fi-FI"/>
        </w:rPr>
        <w:t>Koulutuksen toteutus</w:t>
      </w:r>
    </w:p>
    <w:p w14:paraId="62A94327" w14:textId="77777777" w:rsidR="00DC25FC" w:rsidRPr="006B5682" w:rsidRDefault="00DC25FC" w:rsidP="00DC25FC">
      <w:pPr>
        <w:spacing w:line="300" w:lineRule="atLeast"/>
        <w:rPr>
          <w:rFonts w:ascii="Droid Sans" w:eastAsia="Times New Roman" w:hAnsi="Droid Sans" w:cs="Arial"/>
          <w:color w:val="FF0000"/>
          <w:sz w:val="20"/>
          <w:szCs w:val="20"/>
          <w:lang w:val="fi-FI"/>
        </w:rPr>
      </w:pPr>
      <w:r w:rsidRPr="00DC25FC">
        <w:rPr>
          <w:rFonts w:ascii="Droid Sans" w:eastAsia="Times New Roman" w:hAnsi="Droid Sans" w:cs="Arial"/>
          <w:color w:val="FF0000"/>
          <w:sz w:val="20"/>
          <w:szCs w:val="20"/>
          <w:lang w:val="fi-FI"/>
        </w:rPr>
        <w:t>Savoniassa pedagogisena lähtökohtana on</w:t>
      </w:r>
      <w:r w:rsidRPr="006B5682">
        <w:rPr>
          <w:rFonts w:ascii="Droid Sans" w:eastAsia="Times New Roman" w:hAnsi="Droid Sans" w:cs="Arial"/>
          <w:color w:val="FF0000"/>
          <w:sz w:val="20"/>
          <w:szCs w:val="20"/>
          <w:lang w:val="fi-FI"/>
        </w:rPr>
        <w:t xml:space="preserve"> laadukkaan ja </w:t>
      </w:r>
      <w:r w:rsidRPr="00DC25FC">
        <w:rPr>
          <w:rFonts w:ascii="Droid Sans" w:eastAsia="Times New Roman" w:hAnsi="Droid Sans" w:cs="Arial"/>
          <w:color w:val="FF0000"/>
          <w:sz w:val="20"/>
          <w:szCs w:val="20"/>
          <w:lang w:val="fi-FI"/>
        </w:rPr>
        <w:t>työelämäläheisen</w:t>
      </w:r>
      <w:r w:rsidRPr="006B5682">
        <w:rPr>
          <w:rFonts w:ascii="Droid Sans" w:eastAsia="Times New Roman" w:hAnsi="Droid Sans" w:cs="Arial"/>
          <w:color w:val="FF0000"/>
          <w:sz w:val="20"/>
          <w:szCs w:val="20"/>
          <w:lang w:val="fi-FI"/>
        </w:rPr>
        <w:t xml:space="preserve"> koulutuksen sekä </w:t>
      </w:r>
      <w:r w:rsidRPr="00DC25FC">
        <w:rPr>
          <w:rFonts w:ascii="Droid Sans" w:eastAsia="Times New Roman" w:hAnsi="Droid Sans" w:cs="Arial"/>
          <w:color w:val="FF0000"/>
          <w:sz w:val="20"/>
          <w:szCs w:val="20"/>
          <w:lang w:val="fi-FI"/>
        </w:rPr>
        <w:t>tu</w:t>
      </w:r>
      <w:r w:rsidRPr="006B5682">
        <w:rPr>
          <w:rFonts w:ascii="Droid Sans" w:eastAsia="Times New Roman" w:hAnsi="Droid Sans" w:cs="Arial"/>
          <w:color w:val="FF0000"/>
          <w:sz w:val="20"/>
          <w:szCs w:val="20"/>
          <w:lang w:val="fi-FI"/>
        </w:rPr>
        <w:t xml:space="preserve">tkimus- ja kehittämistoiminnan monimuotoinen yhdistäminen. </w:t>
      </w:r>
      <w:r w:rsidRPr="00DC25FC">
        <w:rPr>
          <w:rFonts w:ascii="Droid Sans" w:eastAsia="Times New Roman" w:hAnsi="Droid Sans" w:cs="Arial"/>
          <w:color w:val="FF0000"/>
          <w:sz w:val="20"/>
          <w:szCs w:val="20"/>
          <w:lang w:val="fi-FI"/>
        </w:rPr>
        <w:t xml:space="preserve">Työelämäläheisessä koulutuksessa korostuvat opiskelijoiden motivaatio ja opintoihin sitoutuminen. </w:t>
      </w:r>
      <w:r w:rsidRPr="006B5682">
        <w:rPr>
          <w:rFonts w:ascii="Droid Sans" w:eastAsia="Times New Roman" w:hAnsi="Droid Sans" w:cs="Arial"/>
          <w:color w:val="FF0000"/>
          <w:sz w:val="20"/>
          <w:szCs w:val="20"/>
          <w:lang w:val="fi-FI"/>
        </w:rPr>
        <w:t>Moninaiset virtuaaliset ja fyysiset ympäristöt Savoniassa ja verkostokumppaneiden tiloissa niin kotimaassa kuin ulkomaillakin kytkevät teorian ja käytännön laajasti ja kiinnostavasti osaksi opiskelijan oppimista ja organisaatioiden kehittämistä. Koulutukselle on tyypillistä monimuotoisuus, monialaisuus sekä aikaan ja paikkaan sitomattomuus.</w:t>
      </w:r>
    </w:p>
    <w:p w14:paraId="12821E37" w14:textId="77777777" w:rsidR="00DC25FC" w:rsidRPr="006B5682" w:rsidRDefault="00DC25FC" w:rsidP="00DC25FC">
      <w:pPr>
        <w:spacing w:line="300" w:lineRule="atLeast"/>
        <w:rPr>
          <w:rFonts w:ascii="Droid Sans" w:eastAsia="Times New Roman" w:hAnsi="Droid Sans" w:cs="Arial"/>
          <w:color w:val="FF0000"/>
          <w:sz w:val="20"/>
          <w:szCs w:val="20"/>
          <w:lang w:val="fi-FI"/>
        </w:rPr>
      </w:pPr>
      <w:r w:rsidRPr="006B5682">
        <w:rPr>
          <w:rFonts w:ascii="Droid Sans" w:eastAsia="Times New Roman" w:hAnsi="Droid Sans" w:cs="Arial"/>
          <w:color w:val="FF0000"/>
          <w:sz w:val="20"/>
          <w:szCs w:val="20"/>
          <w:lang w:val="fi-FI"/>
        </w:rPr>
        <w:t>Kokonaisvaltaisella ohjauksella tuetaan opiskelijan ammatillista kasvua koko opintopolun ajan. Savoniassa jokainen opiskelija on yksilö. Koulutus toteutetaan opiskelijoiden erilaiset tarpeet ja tavoitteet huomioiden. Monipuolisilla koulutuksen toteutustavoilla mahdollistetaan vaihtoehtoiset suoritustavat sekä opiskelijan omien tavoitteiden mukainen eteneminen opinnoissa.</w:t>
      </w:r>
    </w:p>
    <w:p w14:paraId="24CDDECD" w14:textId="77777777" w:rsidR="006B5682" w:rsidRPr="006B5682" w:rsidRDefault="00DC25FC" w:rsidP="00DC25FC">
      <w:pPr>
        <w:spacing w:line="300" w:lineRule="atLeast"/>
        <w:rPr>
          <w:rFonts w:ascii="Droid Sans" w:eastAsia="Times New Roman" w:hAnsi="Droid Sans" w:cs="Arial"/>
          <w:color w:val="FF0000"/>
          <w:sz w:val="20"/>
          <w:szCs w:val="20"/>
          <w:lang w:val="fi-FI"/>
        </w:rPr>
      </w:pPr>
      <w:r w:rsidRPr="006B5682">
        <w:rPr>
          <w:rFonts w:ascii="Droid Sans" w:eastAsia="Times New Roman" w:hAnsi="Droid Sans" w:cs="Arial"/>
          <w:color w:val="FF0000"/>
          <w:sz w:val="20"/>
          <w:szCs w:val="20"/>
          <w:lang w:val="fi-FI"/>
        </w:rPr>
        <w:t>Savoniassa hyödynnetään laajasti aikaisemman osaamisen tunnistaminen ja tunnustamista sekä työn opinnollistamista osana opiskelijan henkilökohtaista opiskelusuunnitelmaa. Opiskelija voi syventää tai laajentaa osaamistaan hyödyntämällä Savonian kansallisten ja kansainvälisten korkeakoulukumppaneiden tarjontaa</w:t>
      </w:r>
      <w:r w:rsidR="006B5682" w:rsidRPr="006B5682">
        <w:rPr>
          <w:rFonts w:ascii="Droid Sans" w:eastAsia="Times New Roman" w:hAnsi="Droid Sans" w:cs="Arial"/>
          <w:color w:val="FF0000"/>
          <w:sz w:val="20"/>
          <w:szCs w:val="20"/>
          <w:lang w:val="fi-FI"/>
        </w:rPr>
        <w:t>.</w:t>
      </w:r>
    </w:p>
    <w:p w14:paraId="08E92881" w14:textId="77777777" w:rsidR="00DC25FC" w:rsidRPr="00DC25FC" w:rsidRDefault="00DC25FC" w:rsidP="00DC25FC">
      <w:pPr>
        <w:spacing w:line="300" w:lineRule="atLeast"/>
        <w:rPr>
          <w:rFonts w:ascii="Droid Sans" w:eastAsia="Times New Roman" w:hAnsi="Droid Sans" w:cs="Arial"/>
          <w:color w:val="656565"/>
          <w:sz w:val="20"/>
          <w:szCs w:val="20"/>
          <w:lang w:val="fi-FI"/>
        </w:rPr>
      </w:pPr>
      <w:r w:rsidRPr="00DC25FC">
        <w:rPr>
          <w:rFonts w:ascii="Droid Sans" w:eastAsia="Times New Roman" w:hAnsi="Droid Sans" w:cs="Arial"/>
          <w:color w:val="656565"/>
          <w:sz w:val="20"/>
          <w:szCs w:val="20"/>
          <w:lang w:val="fi-FI"/>
        </w:rPr>
        <w:br/>
        <w:t>Sairaanhoitajakoulutuksen oppimisnäkemyksen mukaan opiskelija on itseohjautuva ja omasta ammatillisesta kasvustaan ja kehittymisestään vastuun ottava yksilö. Opiskelija pitää yllä koko koulutuksen ajan henkilökohtaista oppimisympäristöä (PLE= personal learning environment), jossa reflektoi omaa kehittymistään opintojen puolivuotisteemojen mukaisesti.</w:t>
      </w:r>
    </w:p>
    <w:p w14:paraId="73C3A205" w14:textId="77777777" w:rsidR="00775121" w:rsidRPr="006B5682" w:rsidRDefault="006B5682">
      <w:pPr>
        <w:rPr>
          <w:lang w:val="fi-FI"/>
        </w:rPr>
      </w:pPr>
      <w:r w:rsidRPr="006B5682">
        <w:rPr>
          <w:rFonts w:ascii="Droid Sans" w:hAnsi="Droid Sans" w:cs="Arial"/>
          <w:color w:val="656565"/>
          <w:sz w:val="20"/>
          <w:szCs w:val="20"/>
          <w:lang w:val="fi-FI"/>
        </w:rPr>
        <w:t>Savonian koulutusten työelämälähtöisyys toteutuu opettajien monimuotoisen verkostoitumisen kautta. Verkostot varmistavat myös substanssiasiantuntijuuden jatkuvan kehittymisen. Henkilöstö luo oppimistilanteita ja tukee opiskelijan oppimista. Opiskelijapalvelut, kirjasto- ja tietopalvelut, kansainvälisyyspalvelut ja muut korkeakoulupalvelut auttavat opiskelussa. Koulutuksessa noudatetaan esteettömyyden sekä kestävän kehityksen periaatteita.</w:t>
      </w:r>
      <w:r w:rsidRPr="006B5682">
        <w:rPr>
          <w:rFonts w:ascii="Droid Sans" w:hAnsi="Droid Sans" w:cs="Arial"/>
          <w:color w:val="656565"/>
          <w:sz w:val="20"/>
          <w:szCs w:val="20"/>
          <w:lang w:val="fi-FI"/>
        </w:rPr>
        <w:br/>
      </w:r>
      <w:r w:rsidRPr="006B5682">
        <w:rPr>
          <w:rFonts w:ascii="Droid Sans" w:hAnsi="Droid Sans" w:cs="Arial"/>
          <w:color w:val="656565"/>
          <w:sz w:val="20"/>
          <w:szCs w:val="20"/>
          <w:lang w:val="fi-FI"/>
        </w:rPr>
        <w:br/>
        <w:t>Sairaanhoitajan tutkinto-ohjelman opetussuunnitelmassa määritellään kunkin opintojakson tavoitteet ja keskeinen asiasisältö, laajuus opintopisteinä, opintojen ja opetuksen järjestämisen periaatteet sekä vaadittavat suoritukset. Koulutuksen toteutussuunnittelu toteutetaan lukukausittain. Saman lukukauden aikana toteutettavat opintojaksot suunnitellaan yhtenä kokonaisuutena. Opintojen joustavuuden takaavat virtuaaliopinnot, sosiaalisen median käyttö oppimisen välineenä ja vaihtoehtoisten osaamisen osoittamistapojen käyttäminen. Aiemmin hankitun osaamisen tunnistaminen, tunnustaminen ja näyttö (AHOT) sekä työn opinnollistaminen ovat osa tätä prosessia. Opiskelun henkilökohtaistamisen (HOPS) ja osaamisen kehittymisen tukena toimii opettajatuutori.</w:t>
      </w:r>
      <w:r w:rsidRPr="006B5682">
        <w:rPr>
          <w:rFonts w:ascii="Droid Sans" w:hAnsi="Droid Sans" w:cs="Arial"/>
          <w:color w:val="656565"/>
          <w:sz w:val="20"/>
          <w:szCs w:val="20"/>
          <w:lang w:val="fi-FI"/>
        </w:rPr>
        <w:br/>
      </w:r>
      <w:r w:rsidRPr="006B5682">
        <w:rPr>
          <w:rFonts w:ascii="Droid Sans" w:hAnsi="Droid Sans" w:cs="Arial"/>
          <w:color w:val="656565"/>
          <w:sz w:val="20"/>
          <w:szCs w:val="20"/>
          <w:lang w:val="fi-FI"/>
        </w:rPr>
        <w:br/>
        <w:t>Sairaanhoitajan tutkinto-ohjelman toteutuksen periaatteita ovat käytännön ja teoriaopetuksen vuoropuhelu, oppiminen erilaisissa asiantuntijakulttuureissa ja opiskelijan yksilöllisten etenemispolkujen turvaaminen. Opiskelussa vuorottelevat ja lomittuvat lähiopetus sekä yksin ja ryhmässä tapahtuva itsenäinen opiskelu. Osa opiskelua ja oppimista tapahtuu koululla taitopajoissa ja simulaatiotilanteissa. Harjoittelu aidoissa työelämän ympäristöissä sekä muut työelämässä käytettävät opiskelumuodot, kuten erilaiset työelämän kanssa yhteistyössä toteutettavat projektit, ovat osa opiskelua ja osaamisen kehittymistä. Opintojen alusta lähtien opiskelijoita tuetaan yhteisölliseen oppimiseen ja itsenäiseen tiedon hankintaan.</w:t>
      </w:r>
      <w:r w:rsidRPr="006B5682">
        <w:rPr>
          <w:rFonts w:ascii="Droid Sans" w:hAnsi="Droid Sans" w:cs="Arial"/>
          <w:color w:val="656565"/>
          <w:sz w:val="20"/>
          <w:szCs w:val="20"/>
          <w:lang w:val="fi-FI"/>
        </w:rPr>
        <w:br/>
      </w:r>
      <w:r w:rsidRPr="006B5682">
        <w:rPr>
          <w:rFonts w:ascii="Droid Sans" w:hAnsi="Droid Sans" w:cs="Arial"/>
          <w:color w:val="656565"/>
          <w:sz w:val="20"/>
          <w:szCs w:val="20"/>
          <w:lang w:val="fi-FI"/>
        </w:rPr>
        <w:br/>
        <w:t xml:space="preserve">Kansainvälistyminen on osa opiskelua. Opiskelijalla on mahdollisuus opiskella opintojen eri vaiheessa kansainvälisyyttä ja kulttuurista osaamista 60 op verran joko ulkomailla erilaisissa vaihto-ohjelmissa tai Savoniassa </w:t>
      </w:r>
      <w:r w:rsidRPr="006B5682">
        <w:rPr>
          <w:rFonts w:ascii="Droid Sans" w:hAnsi="Droid Sans" w:cs="Arial"/>
          <w:color w:val="656565"/>
          <w:sz w:val="20"/>
          <w:szCs w:val="20"/>
          <w:lang w:val="fi-FI"/>
        </w:rPr>
        <w:lastRenderedPageBreak/>
        <w:t>valitsemalla opintoja Bachelor' Degree of Nursing tutkinnosta. Opiskelijan suorittaa ammattiopintojen yhteydessä vähintään 5 opintopistettä englannin kielellä (muuta kuin kieliopintoja). Kulttuurisia taitoja opiskelija voi harjoitella myös tuutoroidessaan kansainvälisiä vaihto-opiskelijoita ja toimimalla esimerkiksi maahanmuuttajayhteisöissä. Opiskelija voi halutessaan suorittaa valinnaisia kieliopintoja jotka sisällytetään osaksi henkilökohtaista opiskelu-ja urasuunnitelmaa.</w:t>
      </w:r>
      <w:r w:rsidRPr="006B5682">
        <w:rPr>
          <w:rFonts w:ascii="Droid Sans" w:hAnsi="Droid Sans" w:cs="Arial"/>
          <w:color w:val="656565"/>
          <w:sz w:val="20"/>
          <w:szCs w:val="20"/>
          <w:lang w:val="fi-FI"/>
        </w:rPr>
        <w:br/>
      </w:r>
      <w:r w:rsidRPr="006B5682">
        <w:rPr>
          <w:rFonts w:ascii="Droid Sans" w:hAnsi="Droid Sans" w:cs="Arial"/>
          <w:color w:val="656565"/>
          <w:sz w:val="20"/>
          <w:szCs w:val="20"/>
          <w:lang w:val="fi-FI"/>
        </w:rPr>
        <w:br/>
        <w:t>Arvioinnissa noudatetaan Savonia-ammattikorkeakoulun tutkintosääntöä. Arvioinnilla ohjataan ja tarkistetaan opiskelijan opintojen tavoitteiden saavuttamista. Arvioinnin kriteerit perustuvat opintojakson tavoitteisiin ja opiskelijan saa opintojakson alkaessa tiedot arviointiperusteista. Opiskelijalla on oikeus saada tieto arviointiperusteiden soveltamisesta opintosuoritukseensa. Sairaanhoitajan tutkinto-ohjelmassa lukukauden opinnoista kerätään määrällistä ja laadullista palautetta, joka käsitellään tuutoritunneilla. Tämän lisäksi opiskelijalla on mahdollista antaa palautetta opiskelijoiden intranetin palautejärjestelmään. Palaute on mahdollista antaa omalla nimellä tai anonyymisti. Opettaja voi lisäksi tarvittaessa kerätä opintojaksoa koskevaa palautetta.</w:t>
      </w:r>
    </w:p>
    <w:sectPr w:rsidR="00775121" w:rsidRPr="006B568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ewjunesemiboldregular">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Droid Sans">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5FC"/>
    <w:rsid w:val="006B5682"/>
    <w:rsid w:val="00775121"/>
    <w:rsid w:val="008334FD"/>
    <w:rsid w:val="00A173F2"/>
    <w:rsid w:val="00DC25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FEF36"/>
  <w15:chartTrackingRefBased/>
  <w15:docId w15:val="{6A829325-2250-41B8-8817-C4B39CCC6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3337092">
      <w:bodyDiv w:val="1"/>
      <w:marLeft w:val="0"/>
      <w:marRight w:val="0"/>
      <w:marTop w:val="0"/>
      <w:marBottom w:val="0"/>
      <w:divBdr>
        <w:top w:val="none" w:sz="0" w:space="0" w:color="auto"/>
        <w:left w:val="none" w:sz="0" w:space="0" w:color="auto"/>
        <w:bottom w:val="none" w:sz="0" w:space="0" w:color="auto"/>
        <w:right w:val="none" w:sz="0" w:space="0" w:color="auto"/>
      </w:divBdr>
      <w:divsChild>
        <w:div w:id="1497380519">
          <w:marLeft w:val="0"/>
          <w:marRight w:val="0"/>
          <w:marTop w:val="0"/>
          <w:marBottom w:val="0"/>
          <w:divBdr>
            <w:top w:val="none" w:sz="0" w:space="0" w:color="auto"/>
            <w:left w:val="none" w:sz="0" w:space="0" w:color="auto"/>
            <w:bottom w:val="none" w:sz="0" w:space="0" w:color="auto"/>
            <w:right w:val="none" w:sz="0" w:space="0" w:color="auto"/>
          </w:divBdr>
          <w:divsChild>
            <w:div w:id="642662824">
              <w:marLeft w:val="0"/>
              <w:marRight w:val="0"/>
              <w:marTop w:val="0"/>
              <w:marBottom w:val="0"/>
              <w:divBdr>
                <w:top w:val="none" w:sz="0" w:space="0" w:color="auto"/>
                <w:left w:val="none" w:sz="0" w:space="0" w:color="auto"/>
                <w:bottom w:val="none" w:sz="0" w:space="0" w:color="auto"/>
                <w:right w:val="none" w:sz="0" w:space="0" w:color="auto"/>
              </w:divBdr>
              <w:divsChild>
                <w:div w:id="2051951432">
                  <w:marLeft w:val="-225"/>
                  <w:marRight w:val="-225"/>
                  <w:marTop w:val="0"/>
                  <w:marBottom w:val="0"/>
                  <w:divBdr>
                    <w:top w:val="none" w:sz="0" w:space="0" w:color="auto"/>
                    <w:left w:val="none" w:sz="0" w:space="0" w:color="auto"/>
                    <w:bottom w:val="none" w:sz="0" w:space="0" w:color="auto"/>
                    <w:right w:val="none" w:sz="0" w:space="0" w:color="auto"/>
                  </w:divBdr>
                  <w:divsChild>
                    <w:div w:id="586964551">
                      <w:marLeft w:val="0"/>
                      <w:marRight w:val="0"/>
                      <w:marTop w:val="0"/>
                      <w:marBottom w:val="0"/>
                      <w:divBdr>
                        <w:top w:val="none" w:sz="0" w:space="0" w:color="auto"/>
                        <w:left w:val="none" w:sz="0" w:space="0" w:color="auto"/>
                        <w:bottom w:val="none" w:sz="0" w:space="0" w:color="auto"/>
                        <w:right w:val="none" w:sz="0" w:space="0" w:color="auto"/>
                      </w:divBdr>
                      <w:divsChild>
                        <w:div w:id="1704086521">
                          <w:marLeft w:val="0"/>
                          <w:marRight w:val="0"/>
                          <w:marTop w:val="0"/>
                          <w:marBottom w:val="450"/>
                          <w:divBdr>
                            <w:top w:val="none" w:sz="0" w:space="0" w:color="auto"/>
                            <w:left w:val="none" w:sz="0" w:space="0" w:color="auto"/>
                            <w:bottom w:val="none" w:sz="0" w:space="0" w:color="auto"/>
                            <w:right w:val="none" w:sz="0" w:space="0" w:color="auto"/>
                          </w:divBdr>
                          <w:divsChild>
                            <w:div w:id="872886448">
                              <w:marLeft w:val="0"/>
                              <w:marRight w:val="0"/>
                              <w:marTop w:val="0"/>
                              <w:marBottom w:val="0"/>
                              <w:divBdr>
                                <w:top w:val="none" w:sz="0" w:space="0" w:color="auto"/>
                                <w:left w:val="none" w:sz="0" w:space="0" w:color="auto"/>
                                <w:bottom w:val="none" w:sz="0" w:space="0" w:color="auto"/>
                                <w:right w:val="none" w:sz="0" w:space="0" w:color="auto"/>
                              </w:divBdr>
                              <w:divsChild>
                                <w:div w:id="353651638">
                                  <w:marLeft w:val="0"/>
                                  <w:marRight w:val="0"/>
                                  <w:marTop w:val="0"/>
                                  <w:marBottom w:val="0"/>
                                  <w:divBdr>
                                    <w:top w:val="none" w:sz="0" w:space="0" w:color="auto"/>
                                    <w:left w:val="none" w:sz="0" w:space="0" w:color="auto"/>
                                    <w:bottom w:val="none" w:sz="0" w:space="0" w:color="auto"/>
                                    <w:right w:val="none" w:sz="0" w:space="0" w:color="auto"/>
                                  </w:divBdr>
                                  <w:divsChild>
                                    <w:div w:id="628634348">
                                      <w:marLeft w:val="0"/>
                                      <w:marRight w:val="0"/>
                                      <w:marTop w:val="0"/>
                                      <w:marBottom w:val="0"/>
                                      <w:divBdr>
                                        <w:top w:val="none" w:sz="0" w:space="0" w:color="auto"/>
                                        <w:left w:val="none" w:sz="0" w:space="0" w:color="auto"/>
                                        <w:bottom w:val="none" w:sz="0" w:space="0" w:color="auto"/>
                                        <w:right w:val="none" w:sz="0" w:space="0" w:color="auto"/>
                                      </w:divBdr>
                                      <w:divsChild>
                                        <w:div w:id="582953467">
                                          <w:marLeft w:val="0"/>
                                          <w:marRight w:val="0"/>
                                          <w:marTop w:val="0"/>
                                          <w:marBottom w:val="0"/>
                                          <w:divBdr>
                                            <w:top w:val="none" w:sz="0" w:space="0" w:color="auto"/>
                                            <w:left w:val="none" w:sz="0" w:space="0" w:color="auto"/>
                                            <w:bottom w:val="none" w:sz="0" w:space="0" w:color="auto"/>
                                            <w:right w:val="none" w:sz="0" w:space="0" w:color="auto"/>
                                          </w:divBdr>
                                          <w:divsChild>
                                            <w:div w:id="905144361">
                                              <w:marLeft w:val="0"/>
                                              <w:marRight w:val="0"/>
                                              <w:marTop w:val="0"/>
                                              <w:marBottom w:val="0"/>
                                              <w:divBdr>
                                                <w:top w:val="none" w:sz="0" w:space="0" w:color="auto"/>
                                                <w:left w:val="none" w:sz="0" w:space="0" w:color="auto"/>
                                                <w:bottom w:val="none" w:sz="0" w:space="0" w:color="auto"/>
                                                <w:right w:val="none" w:sz="0" w:space="0" w:color="auto"/>
                                              </w:divBdr>
                                              <w:divsChild>
                                                <w:div w:id="74980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3282B8C9FFAC6D4BA97D9C4E24BBE54A" ma:contentTypeVersion="13" ma:contentTypeDescription="Luo uusi asiakirja." ma:contentTypeScope="" ma:versionID="89e3e346a6c0ab53b102b0771c339304">
  <xsd:schema xmlns:xsd="http://www.w3.org/2001/XMLSchema" xmlns:xs="http://www.w3.org/2001/XMLSchema" xmlns:p="http://schemas.microsoft.com/office/2006/metadata/properties" xmlns:ns3="729cc334-cccb-49ad-ac57-bc384714c602" xmlns:ns4="a2f41a69-bbcc-4550-8070-38b19bf27690" targetNamespace="http://schemas.microsoft.com/office/2006/metadata/properties" ma:root="true" ma:fieldsID="ca69e05ae7db46acc0165862076ccda8" ns3:_="" ns4:_="">
    <xsd:import namespace="729cc334-cccb-49ad-ac57-bc384714c602"/>
    <xsd:import namespace="a2f41a69-bbcc-4550-8070-38b19bf2769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9cc334-cccb-49ad-ac57-bc384714c602" elementFormDefault="qualified">
    <xsd:import namespace="http://schemas.microsoft.com/office/2006/documentManagement/types"/>
    <xsd:import namespace="http://schemas.microsoft.com/office/infopath/2007/PartnerControls"/>
    <xsd:element name="SharedWithUsers" ma:index="8" nillable="true" ma:displayName="Jaett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description="" ma:internalName="SharedWithDetails" ma:readOnly="true">
      <xsd:simpleType>
        <xsd:restriction base="dms:Note">
          <xsd:maxLength value="255"/>
        </xsd:restriction>
      </xsd:simpleType>
    </xsd:element>
    <xsd:element name="SharingHintHash" ma:index="10" nillable="true" ma:displayName="Jakamisvihjeen hajautus"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f41a69-bbcc-4550-8070-38b19bf2769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D9FE3A-7E27-4FB8-A8D8-BF3FED4D6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9cc334-cccb-49ad-ac57-bc384714c602"/>
    <ds:schemaRef ds:uri="a2f41a69-bbcc-4550-8070-38b19bf27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963ED0-58D7-40B5-8D16-9A4E4439143B}">
  <ds:schemaRefs>
    <ds:schemaRef ds:uri="http://schemas.microsoft.com/office/2006/metadata/properties"/>
    <ds:schemaRef ds:uri="http://purl.org/dc/elements/1.1/"/>
    <ds:schemaRef ds:uri="http://schemas.microsoft.com/office/2006/documentManagement/types"/>
    <ds:schemaRef ds:uri="729cc334-cccb-49ad-ac57-bc384714c602"/>
    <ds:schemaRef ds:uri="http://schemas.openxmlformats.org/package/2006/metadata/core-properties"/>
    <ds:schemaRef ds:uri="http://purl.org/dc/terms/"/>
    <ds:schemaRef ds:uri="http://purl.org/dc/dcmitype/"/>
    <ds:schemaRef ds:uri="http://schemas.microsoft.com/office/infopath/2007/PartnerControls"/>
    <ds:schemaRef ds:uri="a2f41a69-bbcc-4550-8070-38b19bf27690"/>
    <ds:schemaRef ds:uri="http://www.w3.org/XML/1998/namespace"/>
  </ds:schemaRefs>
</ds:datastoreItem>
</file>

<file path=customXml/itemProps3.xml><?xml version="1.0" encoding="utf-8"?>
<ds:datastoreItem xmlns:ds="http://schemas.openxmlformats.org/officeDocument/2006/customXml" ds:itemID="{835F6C7D-C7B7-49AF-8BF8-694C1FD89F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752</Words>
  <Characters>4288</Characters>
  <Application>Microsoft Office Word</Application>
  <DocSecurity>4</DocSecurity>
  <Lines>35</Lines>
  <Paragraphs>10</Paragraphs>
  <ScaleCrop>false</ScaleCrop>
  <HeadingPairs>
    <vt:vector size="2" baseType="variant">
      <vt:variant>
        <vt:lpstr>Otsikko</vt:lpstr>
      </vt:variant>
      <vt:variant>
        <vt:i4>1</vt:i4>
      </vt:variant>
    </vt:vector>
  </HeadingPairs>
  <TitlesOfParts>
    <vt:vector size="1" baseType="lpstr">
      <vt:lpstr/>
    </vt:vector>
  </TitlesOfParts>
  <Company>SAVONIA-AMK Oy</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Eeva-Riitta Ylinen</dc:creator>
  <cp:keywords/>
  <dc:description/>
  <cp:lastModifiedBy>Taina Moilanen</cp:lastModifiedBy>
  <cp:revision>2</cp:revision>
  <dcterms:created xsi:type="dcterms:W3CDTF">2020-12-16T08:57:00Z</dcterms:created>
  <dcterms:modified xsi:type="dcterms:W3CDTF">2020-12-16T08:57:00Z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0x0101003282B8C9FFAC6D4BA97D9C4E24BBE54A</vt:lpwstr>
  </property>
</Properties>
</file>