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704"/>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304"/>
        <w:gridCol w:w="6381"/>
      </w:tblGrid>
      <w:tr w:rsidR="00A84936" w:rsidRPr="001E358D" w:rsidTr="00296F89">
        <w:tc>
          <w:tcPr>
            <w:tcW w:w="2093" w:type="dxa"/>
            <w:shd w:val="clear" w:color="auto" w:fill="31A3B5"/>
          </w:tcPr>
          <w:p w:rsidR="00A84936" w:rsidRPr="001E358D" w:rsidRDefault="00A84936" w:rsidP="00296F89">
            <w:pPr>
              <w:spacing w:before="240"/>
              <w:rPr>
                <w:rFonts w:ascii="Arial Narrow" w:hAnsi="Arial Narrow" w:cs="Calibri"/>
                <w:b/>
                <w:color w:val="FFFFFF"/>
                <w:sz w:val="26"/>
                <w:szCs w:val="26"/>
              </w:rPr>
            </w:pPr>
          </w:p>
        </w:tc>
        <w:tc>
          <w:tcPr>
            <w:tcW w:w="1304" w:type="dxa"/>
            <w:shd w:val="clear" w:color="auto" w:fill="31A3B5"/>
          </w:tcPr>
          <w:p w:rsidR="00A84936" w:rsidRPr="00296F89" w:rsidRDefault="00A84936" w:rsidP="00296F89">
            <w:pPr>
              <w:spacing w:before="240"/>
              <w:rPr>
                <w:rFonts w:ascii="Tahoma" w:hAnsi="Tahoma"/>
                <w:b/>
                <w:color w:val="FFFFFF"/>
                <w:sz w:val="26"/>
                <w:szCs w:val="26"/>
              </w:rPr>
            </w:pPr>
            <w:r w:rsidRPr="00296F89">
              <w:rPr>
                <w:rFonts w:ascii="Tahoma" w:hAnsi="Tahoma"/>
                <w:b/>
                <w:color w:val="FFFFFF"/>
                <w:sz w:val="26"/>
                <w:szCs w:val="26"/>
              </w:rPr>
              <w:t xml:space="preserve">Laajuus </w:t>
            </w:r>
          </w:p>
        </w:tc>
        <w:tc>
          <w:tcPr>
            <w:tcW w:w="6381" w:type="dxa"/>
            <w:shd w:val="clear" w:color="auto" w:fill="31A3B5"/>
          </w:tcPr>
          <w:p w:rsidR="00A84936" w:rsidRPr="00296F89" w:rsidRDefault="00A84936" w:rsidP="00296F89">
            <w:pPr>
              <w:spacing w:before="240"/>
              <w:rPr>
                <w:rFonts w:ascii="Tahoma" w:hAnsi="Tahoma"/>
                <w:b/>
                <w:color w:val="FFFFFF"/>
                <w:sz w:val="26"/>
                <w:szCs w:val="26"/>
              </w:rPr>
            </w:pPr>
            <w:r w:rsidRPr="00296F89">
              <w:rPr>
                <w:rFonts w:ascii="Tahoma" w:hAnsi="Tahoma"/>
                <w:b/>
                <w:color w:val="FFFFFF"/>
                <w:sz w:val="26"/>
                <w:szCs w:val="26"/>
              </w:rPr>
              <w:t>Luonnehdinta opinnoista lyhyesti</w:t>
            </w:r>
          </w:p>
        </w:tc>
      </w:tr>
      <w:tr w:rsidR="00A84936" w:rsidRPr="00983C51" w:rsidTr="00296F89">
        <w:tc>
          <w:tcPr>
            <w:tcW w:w="2093" w:type="dxa"/>
          </w:tcPr>
          <w:p w:rsidR="00A84936" w:rsidRPr="00296F89" w:rsidRDefault="00A84936" w:rsidP="00296F89">
            <w:pPr>
              <w:rPr>
                <w:rFonts w:ascii="Tahoma" w:hAnsi="Tahoma"/>
                <w:b/>
                <w:szCs w:val="22"/>
                <w:lang w:eastAsia="fi-FI"/>
              </w:rPr>
            </w:pPr>
            <w:r w:rsidRPr="00296F89">
              <w:rPr>
                <w:rFonts w:ascii="Tahoma" w:eastAsiaTheme="minorEastAsia" w:hAnsi="Tahoma"/>
                <w:b/>
                <w:iCs/>
                <w:sz w:val="20"/>
                <w:lang w:eastAsia="fi-FI"/>
              </w:rPr>
              <w:t>Syventävät ammattiopinnot</w:t>
            </w:r>
          </w:p>
        </w:tc>
        <w:tc>
          <w:tcPr>
            <w:tcW w:w="1304" w:type="dxa"/>
          </w:tcPr>
          <w:p w:rsidR="00A84936" w:rsidRPr="00A84936" w:rsidRDefault="00A84936" w:rsidP="00296F89">
            <w:pPr>
              <w:rPr>
                <w:rFonts w:asciiTheme="minorHAnsi" w:hAnsiTheme="minorHAnsi" w:cstheme="majorHAnsi"/>
                <w:szCs w:val="22"/>
              </w:rPr>
            </w:pPr>
            <w:r w:rsidRPr="00A84936">
              <w:rPr>
                <w:rFonts w:asciiTheme="minorHAnsi" w:hAnsiTheme="minorHAnsi" w:cstheme="majorHAnsi"/>
                <w:szCs w:val="22"/>
              </w:rPr>
              <w:t>20 op</w:t>
            </w:r>
          </w:p>
        </w:tc>
        <w:tc>
          <w:tcPr>
            <w:tcW w:w="6381" w:type="dxa"/>
          </w:tcPr>
          <w:p w:rsidR="00A84936" w:rsidRPr="00A84936" w:rsidRDefault="00A84936" w:rsidP="00296F89">
            <w:pPr>
              <w:autoSpaceDE w:val="0"/>
              <w:autoSpaceDN w:val="0"/>
              <w:spacing w:line="240" w:lineRule="auto"/>
              <w:rPr>
                <w:rFonts w:asciiTheme="minorHAnsi" w:hAnsiTheme="minorHAnsi" w:cstheme="majorHAnsi"/>
                <w:szCs w:val="22"/>
              </w:rPr>
            </w:pPr>
            <w:r w:rsidRPr="00296F89">
              <w:rPr>
                <w:rFonts w:ascii="Tahoma" w:eastAsiaTheme="minorEastAsia" w:hAnsi="Tahoma"/>
                <w:iCs/>
                <w:sz w:val="20"/>
                <w:lang w:eastAsia="fi-FI"/>
              </w:rPr>
              <w:t>Syventävät ammattiopinnot antavat valmiuksia uudistuvan pedagogiikan, tutkimustiedon ja ammattikäytännön kehityksen seuraamiseen ja erittelyyn, joita tutkinnon suorittaja voi käyttää taidepedagogin vaativissa asiantuntija- ja johtamistehtävissä mm. analyyttisiä -, projektinhallinta- sekä itsensä kehittämiseen liittyviä taitoja. Opinnot tukevat elinikäistä oppimista sekä kykyä jatkuvasti kehittää omaa ammattitaitoaan.</w:t>
            </w:r>
          </w:p>
        </w:tc>
      </w:tr>
      <w:tr w:rsidR="00A84936" w:rsidRPr="001E358D" w:rsidTr="00296F89">
        <w:trPr>
          <w:trHeight w:val="695"/>
        </w:trPr>
        <w:tc>
          <w:tcPr>
            <w:tcW w:w="2093" w:type="dxa"/>
          </w:tcPr>
          <w:p w:rsidR="00A84936" w:rsidRPr="00296F89" w:rsidRDefault="00A84936" w:rsidP="00296F89">
            <w:pPr>
              <w:rPr>
                <w:rFonts w:ascii="Tahoma" w:hAnsi="Tahoma"/>
                <w:b/>
                <w:szCs w:val="22"/>
                <w:lang w:eastAsia="fi-FI"/>
              </w:rPr>
            </w:pPr>
            <w:r w:rsidRPr="00296F89">
              <w:rPr>
                <w:rFonts w:ascii="Tahoma" w:eastAsiaTheme="minorEastAsia" w:hAnsi="Tahoma"/>
                <w:b/>
                <w:iCs/>
                <w:sz w:val="20"/>
                <w:lang w:eastAsia="fi-FI"/>
              </w:rPr>
              <w:t xml:space="preserve">Savonian </w:t>
            </w:r>
            <w:r w:rsidR="00296F89" w:rsidRPr="00296F89">
              <w:rPr>
                <w:rFonts w:ascii="Tahoma" w:eastAsiaTheme="minorEastAsia" w:hAnsi="Tahoma"/>
                <w:b/>
                <w:iCs/>
                <w:sz w:val="20"/>
                <w:lang w:eastAsia="fi-FI"/>
              </w:rPr>
              <w:t>yhteiset YAMK</w:t>
            </w:r>
            <w:r w:rsidRPr="00296F89">
              <w:rPr>
                <w:rFonts w:ascii="Tahoma" w:eastAsiaTheme="minorEastAsia" w:hAnsi="Tahoma"/>
                <w:b/>
                <w:iCs/>
                <w:sz w:val="20"/>
                <w:lang w:eastAsia="fi-FI"/>
              </w:rPr>
              <w:t>-opinnot</w:t>
            </w:r>
          </w:p>
        </w:tc>
        <w:tc>
          <w:tcPr>
            <w:tcW w:w="1304" w:type="dxa"/>
          </w:tcPr>
          <w:p w:rsidR="00A84936" w:rsidRPr="00A84936" w:rsidRDefault="00A84936" w:rsidP="00296F89">
            <w:pPr>
              <w:rPr>
                <w:rFonts w:asciiTheme="minorHAnsi" w:hAnsiTheme="minorHAnsi" w:cstheme="majorHAnsi"/>
                <w:szCs w:val="22"/>
              </w:rPr>
            </w:pPr>
            <w:r w:rsidRPr="00A84936">
              <w:rPr>
                <w:rFonts w:asciiTheme="minorHAnsi" w:hAnsiTheme="minorHAnsi" w:cstheme="majorHAnsi"/>
                <w:szCs w:val="22"/>
              </w:rPr>
              <w:t>10 op</w:t>
            </w:r>
          </w:p>
        </w:tc>
        <w:tc>
          <w:tcPr>
            <w:tcW w:w="6381" w:type="dxa"/>
          </w:tcPr>
          <w:p w:rsidR="00A84936" w:rsidRPr="00296F89" w:rsidRDefault="00A84936" w:rsidP="00296F89">
            <w:pPr>
              <w:autoSpaceDE w:val="0"/>
              <w:autoSpaceDN w:val="0"/>
              <w:spacing w:line="240" w:lineRule="auto"/>
              <w:rPr>
                <w:rFonts w:ascii="Tahoma" w:eastAsiaTheme="minorEastAsia" w:hAnsi="Tahoma"/>
                <w:iCs/>
                <w:sz w:val="20"/>
                <w:lang w:eastAsia="fi-FI"/>
              </w:rPr>
            </w:pPr>
            <w:r w:rsidRPr="00296F89">
              <w:rPr>
                <w:rFonts w:ascii="Tahoma" w:eastAsiaTheme="minorEastAsia" w:hAnsi="Tahoma"/>
                <w:iCs/>
                <w:sz w:val="20"/>
                <w:lang w:eastAsia="fi-FI"/>
              </w:rPr>
              <w:t xml:space="preserve">Opiskelija valitsee Savonian YAMK-koulutusten yhteisistä opinnoista pääsääntöiseesti vähintään 10 op, joista 5 op on oltava englanninkielisiä opintoja.  </w:t>
            </w:r>
          </w:p>
        </w:tc>
      </w:tr>
      <w:tr w:rsidR="00A84936" w:rsidRPr="001E358D" w:rsidTr="00296F89">
        <w:tc>
          <w:tcPr>
            <w:tcW w:w="2093" w:type="dxa"/>
          </w:tcPr>
          <w:p w:rsidR="00A84936" w:rsidRPr="00296F89" w:rsidRDefault="00A84936" w:rsidP="00296F89">
            <w:pPr>
              <w:rPr>
                <w:rFonts w:ascii="Tahoma" w:eastAsiaTheme="minorEastAsia" w:hAnsi="Tahoma"/>
                <w:b/>
                <w:iCs/>
                <w:sz w:val="20"/>
                <w:lang w:eastAsia="fi-FI"/>
              </w:rPr>
            </w:pPr>
            <w:r w:rsidRPr="00296F89">
              <w:rPr>
                <w:rFonts w:ascii="Tahoma" w:eastAsiaTheme="minorEastAsia" w:hAnsi="Tahoma"/>
                <w:b/>
                <w:iCs/>
                <w:sz w:val="20"/>
                <w:lang w:eastAsia="fi-FI"/>
              </w:rPr>
              <w:t>Opinnäytetyö</w:t>
            </w:r>
          </w:p>
          <w:p w:rsidR="00A84936" w:rsidRPr="00296F89" w:rsidRDefault="00A84936" w:rsidP="00296F89">
            <w:pPr>
              <w:spacing w:before="240"/>
              <w:rPr>
                <w:rFonts w:ascii="Tahoma" w:hAnsi="Tahoma"/>
                <w:b/>
                <w:szCs w:val="22"/>
                <w:lang w:eastAsia="fi-FI"/>
              </w:rPr>
            </w:pPr>
          </w:p>
        </w:tc>
        <w:tc>
          <w:tcPr>
            <w:tcW w:w="1304" w:type="dxa"/>
          </w:tcPr>
          <w:p w:rsidR="00A84936" w:rsidRPr="00A84936" w:rsidRDefault="00A84936" w:rsidP="00296F89">
            <w:pPr>
              <w:rPr>
                <w:rFonts w:asciiTheme="minorHAnsi" w:hAnsiTheme="minorHAnsi" w:cstheme="majorHAnsi"/>
                <w:szCs w:val="22"/>
              </w:rPr>
            </w:pPr>
            <w:r w:rsidRPr="00A84936">
              <w:rPr>
                <w:rFonts w:asciiTheme="minorHAnsi" w:hAnsiTheme="minorHAnsi" w:cstheme="majorHAnsi"/>
                <w:szCs w:val="22"/>
              </w:rPr>
              <w:t>30 op</w:t>
            </w:r>
          </w:p>
        </w:tc>
        <w:tc>
          <w:tcPr>
            <w:tcW w:w="6381" w:type="dxa"/>
          </w:tcPr>
          <w:p w:rsidR="00A84936" w:rsidRPr="00296F89" w:rsidRDefault="00A84936" w:rsidP="00296F89">
            <w:pPr>
              <w:autoSpaceDE w:val="0"/>
              <w:autoSpaceDN w:val="0"/>
              <w:spacing w:line="240" w:lineRule="auto"/>
              <w:rPr>
                <w:rFonts w:ascii="Tahoma" w:eastAsiaTheme="minorEastAsia" w:hAnsi="Tahoma"/>
                <w:iCs/>
                <w:sz w:val="20"/>
                <w:lang w:eastAsia="fi-FI"/>
              </w:rPr>
            </w:pPr>
            <w:r w:rsidRPr="00296F89">
              <w:rPr>
                <w:rFonts w:ascii="Tahoma" w:eastAsiaTheme="minorEastAsia" w:hAnsi="Tahoma"/>
                <w:iCs/>
                <w:sz w:val="20"/>
                <w:lang w:eastAsia="fi-FI"/>
              </w:rPr>
              <w:t xml:space="preserve">Opinnäytetyö on opiskelijan työelämäläheinen oppimisprosessi, jota asiantuntijat tukevat, ohjaavat ja arvioivat. Tavoitteena on, että opiskelija kehittää työelämää opinnäytetyöllään samalla kun prosessi syventää hänen asiantuntijuuttaan valitussa aiheessa. </w:t>
            </w:r>
          </w:p>
          <w:p w:rsidR="00A84936" w:rsidRPr="00296F89" w:rsidRDefault="00A84936" w:rsidP="00296F89">
            <w:pPr>
              <w:autoSpaceDE w:val="0"/>
              <w:autoSpaceDN w:val="0"/>
              <w:spacing w:line="240" w:lineRule="auto"/>
              <w:rPr>
                <w:rFonts w:ascii="Tahoma" w:eastAsiaTheme="minorEastAsia" w:hAnsi="Tahoma"/>
                <w:iCs/>
                <w:sz w:val="20"/>
                <w:lang w:eastAsia="fi-FI"/>
              </w:rPr>
            </w:pPr>
            <w:r w:rsidRPr="00296F89">
              <w:rPr>
                <w:rFonts w:ascii="Tahoma" w:eastAsiaTheme="minorEastAsia" w:hAnsi="Tahoma"/>
                <w:iCs/>
                <w:sz w:val="20"/>
                <w:lang w:eastAsia="fi-FI"/>
              </w:rPr>
              <w:t>Opinnäytetyöt voivat olla tutkimuksellisia, toiminnallisia tai subjektiivista luovaa ilmaisua. Opinnäytetyön tekemisessä opiskelija vastaa</w:t>
            </w:r>
          </w:p>
          <w:p w:rsidR="00A84936" w:rsidRPr="00296F89" w:rsidRDefault="00A84936" w:rsidP="00296F89">
            <w:pPr>
              <w:pStyle w:val="Default"/>
              <w:numPr>
                <w:ilvl w:val="0"/>
                <w:numId w:val="1"/>
              </w:numPr>
              <w:ind w:left="1168"/>
              <w:rPr>
                <w:rFonts w:eastAsiaTheme="minorEastAsia"/>
                <w:iCs/>
                <w:color w:val="auto"/>
                <w:sz w:val="20"/>
                <w:szCs w:val="20"/>
              </w:rPr>
            </w:pPr>
            <w:r w:rsidRPr="00296F89">
              <w:rPr>
                <w:rFonts w:eastAsiaTheme="minorEastAsia"/>
                <w:iCs/>
                <w:color w:val="auto"/>
                <w:sz w:val="20"/>
                <w:szCs w:val="20"/>
              </w:rPr>
              <w:t>opinnäytetyöidean ja työelämäyhteyden hakemisesta</w:t>
            </w:r>
          </w:p>
          <w:p w:rsidR="00A84936" w:rsidRPr="00296F89" w:rsidRDefault="00A84936" w:rsidP="00296F89">
            <w:pPr>
              <w:pStyle w:val="Default"/>
              <w:numPr>
                <w:ilvl w:val="0"/>
                <w:numId w:val="1"/>
              </w:numPr>
              <w:ind w:left="1168"/>
              <w:rPr>
                <w:rFonts w:eastAsiaTheme="minorEastAsia"/>
                <w:iCs/>
                <w:color w:val="auto"/>
                <w:sz w:val="20"/>
                <w:szCs w:val="20"/>
              </w:rPr>
            </w:pPr>
            <w:r w:rsidRPr="00296F89">
              <w:rPr>
                <w:rFonts w:eastAsiaTheme="minorEastAsia"/>
                <w:iCs/>
                <w:color w:val="auto"/>
                <w:sz w:val="20"/>
                <w:szCs w:val="20"/>
              </w:rPr>
              <w:t>opinnäytetyön tehtäväalueeseen perehtymisestä ja tehtävän asettamisesta</w:t>
            </w:r>
          </w:p>
          <w:p w:rsidR="00A84936" w:rsidRPr="00296F89" w:rsidRDefault="00A84936" w:rsidP="00296F89">
            <w:pPr>
              <w:pStyle w:val="Default"/>
              <w:numPr>
                <w:ilvl w:val="0"/>
                <w:numId w:val="1"/>
              </w:numPr>
              <w:ind w:left="1168"/>
              <w:rPr>
                <w:rFonts w:eastAsiaTheme="minorEastAsia"/>
                <w:iCs/>
                <w:color w:val="auto"/>
                <w:sz w:val="20"/>
                <w:szCs w:val="20"/>
              </w:rPr>
            </w:pPr>
            <w:r w:rsidRPr="00296F89">
              <w:rPr>
                <w:rFonts w:eastAsiaTheme="minorEastAsia"/>
                <w:iCs/>
                <w:color w:val="auto"/>
                <w:sz w:val="20"/>
                <w:szCs w:val="20"/>
              </w:rPr>
              <w:t>osallistumisesta vertaisarvioijana toisten opinnäyteprosessiin</w:t>
            </w:r>
          </w:p>
          <w:p w:rsidR="00A84936" w:rsidRPr="00296F89" w:rsidRDefault="00A84936" w:rsidP="00296F89">
            <w:pPr>
              <w:pStyle w:val="Default"/>
              <w:numPr>
                <w:ilvl w:val="0"/>
                <w:numId w:val="1"/>
              </w:numPr>
              <w:ind w:left="1168"/>
              <w:rPr>
                <w:rFonts w:eastAsiaTheme="minorEastAsia"/>
                <w:iCs/>
                <w:color w:val="auto"/>
                <w:sz w:val="20"/>
                <w:szCs w:val="20"/>
              </w:rPr>
            </w:pPr>
            <w:r w:rsidRPr="00296F89">
              <w:rPr>
                <w:rFonts w:eastAsiaTheme="minorEastAsia"/>
                <w:iCs/>
                <w:color w:val="auto"/>
                <w:sz w:val="20"/>
                <w:szCs w:val="20"/>
              </w:rPr>
              <w:t>asetetun tehtävän suorittamisesta ja raportoinnista</w:t>
            </w:r>
          </w:p>
          <w:p w:rsidR="00A84936" w:rsidRPr="00296F89" w:rsidRDefault="00A84936" w:rsidP="00296F89">
            <w:pPr>
              <w:pStyle w:val="Default"/>
              <w:numPr>
                <w:ilvl w:val="0"/>
                <w:numId w:val="1"/>
              </w:numPr>
              <w:ind w:left="1168"/>
              <w:rPr>
                <w:rFonts w:eastAsiaTheme="minorEastAsia"/>
                <w:iCs/>
                <w:color w:val="auto"/>
                <w:sz w:val="20"/>
                <w:szCs w:val="20"/>
              </w:rPr>
            </w:pPr>
            <w:r w:rsidRPr="00296F89">
              <w:rPr>
                <w:rFonts w:eastAsiaTheme="minorEastAsia"/>
                <w:iCs/>
                <w:color w:val="auto"/>
                <w:sz w:val="20"/>
                <w:szCs w:val="20"/>
              </w:rPr>
              <w:t>opinnäytetyön viimeistelystä ja tiedotusmateriaalin laatimisesta.</w:t>
            </w:r>
          </w:p>
          <w:p w:rsidR="00A84936" w:rsidRDefault="00A84936" w:rsidP="00296F89">
            <w:pPr>
              <w:autoSpaceDE w:val="0"/>
              <w:autoSpaceDN w:val="0"/>
              <w:spacing w:line="240" w:lineRule="auto"/>
              <w:rPr>
                <w:rFonts w:ascii="Tahoma" w:eastAsiaTheme="minorEastAsia" w:hAnsi="Tahoma"/>
                <w:iCs/>
                <w:sz w:val="20"/>
                <w:lang w:eastAsia="fi-FI"/>
              </w:rPr>
            </w:pPr>
            <w:r w:rsidRPr="00296F89">
              <w:rPr>
                <w:rFonts w:ascii="Tahoma" w:eastAsiaTheme="minorEastAsia" w:hAnsi="Tahoma"/>
                <w:iCs/>
                <w:sz w:val="20"/>
                <w:lang w:eastAsia="fi-FI"/>
              </w:rPr>
              <w:t>Kehittämistehtävä tai soveltava tutkimus tarjoaa uutta osaamista työelämään, uusia kehittämislinjoja oman ympäristönsä tarpeiden pohjalta, oman asiantuntijuuden esittämisen, verkottumisen ja joustavan portin siirtyä työpaikan sisällä eri tehtäviin tai kokonaan uusiin tehtäviin. Opinnäytetyö esittää kirjallisen viestinnän taidon.</w:t>
            </w:r>
          </w:p>
          <w:p w:rsidR="00296F89" w:rsidRDefault="00296F89" w:rsidP="00296F89">
            <w:pPr>
              <w:autoSpaceDE w:val="0"/>
              <w:autoSpaceDN w:val="0"/>
              <w:spacing w:line="240" w:lineRule="auto"/>
              <w:rPr>
                <w:rFonts w:ascii="Tahoma" w:eastAsiaTheme="minorEastAsia" w:hAnsi="Tahoma"/>
                <w:iCs/>
                <w:sz w:val="20"/>
                <w:lang w:eastAsia="fi-FI"/>
              </w:rPr>
            </w:pPr>
          </w:p>
          <w:p w:rsidR="00296F89" w:rsidRPr="00296F89" w:rsidRDefault="00296F89" w:rsidP="00AA56AD">
            <w:pPr>
              <w:autoSpaceDE w:val="0"/>
              <w:autoSpaceDN w:val="0"/>
              <w:spacing w:line="240" w:lineRule="auto"/>
              <w:rPr>
                <w:rFonts w:ascii="Tahoma" w:eastAsiaTheme="minorEastAsia" w:hAnsi="Tahoma"/>
                <w:iCs/>
                <w:sz w:val="20"/>
                <w:lang w:eastAsia="fi-FI"/>
              </w:rPr>
            </w:pPr>
            <w:r>
              <w:rPr>
                <w:rFonts w:ascii="Tahoma" w:eastAsiaTheme="minorEastAsia" w:hAnsi="Tahoma"/>
                <w:iCs/>
                <w:sz w:val="20"/>
                <w:lang w:eastAsia="fi-FI"/>
              </w:rPr>
              <w:t>Opinnäytetyö sisältää Menetelmäo</w:t>
            </w:r>
            <w:r w:rsidR="00AA56AD">
              <w:rPr>
                <w:rFonts w:ascii="Tahoma" w:eastAsiaTheme="minorEastAsia" w:hAnsi="Tahoma"/>
                <w:iCs/>
                <w:sz w:val="20"/>
                <w:lang w:eastAsia="fi-FI"/>
              </w:rPr>
              <w:t>pinnot ja tutkimusviestintä</w:t>
            </w:r>
            <w:r>
              <w:rPr>
                <w:rFonts w:ascii="Tahoma" w:eastAsiaTheme="minorEastAsia" w:hAnsi="Tahoma"/>
                <w:iCs/>
                <w:sz w:val="20"/>
                <w:lang w:eastAsia="fi-FI"/>
              </w:rPr>
              <w:t xml:space="preserve"> </w:t>
            </w:r>
            <w:r w:rsidR="00AA56AD">
              <w:rPr>
                <w:rFonts w:ascii="Tahoma" w:eastAsiaTheme="minorEastAsia" w:hAnsi="Tahoma"/>
                <w:iCs/>
                <w:sz w:val="20"/>
                <w:lang w:eastAsia="fi-FI"/>
              </w:rPr>
              <w:t>-</w:t>
            </w:r>
            <w:bookmarkStart w:id="0" w:name="_GoBack"/>
            <w:bookmarkEnd w:id="0"/>
            <w:r w:rsidR="00AA56AD">
              <w:rPr>
                <w:rFonts w:ascii="Tahoma" w:eastAsiaTheme="minorEastAsia" w:hAnsi="Tahoma"/>
                <w:iCs/>
                <w:sz w:val="20"/>
                <w:lang w:eastAsia="fi-FI"/>
              </w:rPr>
              <w:t>osuuden 5 op</w:t>
            </w:r>
            <w:r>
              <w:rPr>
                <w:rFonts w:ascii="Tahoma" w:eastAsiaTheme="minorEastAsia" w:hAnsi="Tahoma"/>
                <w:iCs/>
                <w:sz w:val="20"/>
                <w:lang w:eastAsia="fi-FI"/>
              </w:rPr>
              <w:t>.</w:t>
            </w:r>
          </w:p>
        </w:tc>
      </w:tr>
      <w:tr w:rsidR="00A84936" w:rsidRPr="001E358D" w:rsidTr="00296F89">
        <w:tc>
          <w:tcPr>
            <w:tcW w:w="2093" w:type="dxa"/>
          </w:tcPr>
          <w:p w:rsidR="00A84936" w:rsidRPr="00296F89" w:rsidRDefault="00A84936" w:rsidP="00296F89">
            <w:pPr>
              <w:spacing w:before="240"/>
              <w:rPr>
                <w:rFonts w:ascii="Tahoma" w:hAnsi="Tahoma"/>
                <w:b/>
                <w:sz w:val="20"/>
              </w:rPr>
            </w:pPr>
            <w:r w:rsidRPr="00296F89">
              <w:rPr>
                <w:rFonts w:ascii="Tahoma" w:hAnsi="Tahoma"/>
                <w:b/>
                <w:sz w:val="20"/>
              </w:rPr>
              <w:t>Yhteensä</w:t>
            </w:r>
          </w:p>
        </w:tc>
        <w:tc>
          <w:tcPr>
            <w:tcW w:w="1304" w:type="dxa"/>
          </w:tcPr>
          <w:p w:rsidR="00A84936" w:rsidRPr="00296F89" w:rsidRDefault="00A84936" w:rsidP="00296F89">
            <w:pPr>
              <w:spacing w:before="240"/>
              <w:rPr>
                <w:rFonts w:ascii="Tahoma" w:hAnsi="Tahoma"/>
                <w:b/>
                <w:sz w:val="20"/>
              </w:rPr>
            </w:pPr>
            <w:r w:rsidRPr="00296F89">
              <w:rPr>
                <w:rFonts w:ascii="Tahoma" w:hAnsi="Tahoma"/>
                <w:b/>
                <w:sz w:val="20"/>
              </w:rPr>
              <w:t>60 op</w:t>
            </w:r>
          </w:p>
        </w:tc>
        <w:tc>
          <w:tcPr>
            <w:tcW w:w="6381" w:type="dxa"/>
          </w:tcPr>
          <w:p w:rsidR="00A84936" w:rsidRPr="00FE1532" w:rsidRDefault="00A84936" w:rsidP="00296F89">
            <w:pPr>
              <w:spacing w:before="240"/>
              <w:rPr>
                <w:rFonts w:asciiTheme="majorHAnsi" w:hAnsiTheme="majorHAnsi" w:cstheme="majorHAnsi"/>
                <w:sz w:val="20"/>
              </w:rPr>
            </w:pPr>
          </w:p>
        </w:tc>
      </w:tr>
    </w:tbl>
    <w:p w:rsidR="00D176C9" w:rsidRPr="00296F89" w:rsidRDefault="00A11633">
      <w:pPr>
        <w:rPr>
          <w:rFonts w:ascii="Tahoma" w:hAnsi="Tahoma"/>
        </w:rPr>
      </w:pPr>
      <w:r>
        <w:rPr>
          <w:rFonts w:ascii="Tahoma" w:hAnsi="Tahoma"/>
        </w:rPr>
        <w:t>DYT20SY</w:t>
      </w:r>
      <w:r w:rsidR="00296F89">
        <w:rPr>
          <w:rFonts w:ascii="Tahoma" w:hAnsi="Tahoma"/>
        </w:rPr>
        <w:t>_5</w:t>
      </w:r>
    </w:p>
    <w:p w:rsidR="00296F89" w:rsidRDefault="00296F89"/>
    <w:p w:rsidR="00296F89" w:rsidRDefault="00296F89"/>
    <w:sectPr w:rsidR="00296F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6211C"/>
    <w:multiLevelType w:val="hybridMultilevel"/>
    <w:tmpl w:val="824890B6"/>
    <w:lvl w:ilvl="0" w:tplc="040B0001">
      <w:start w:val="1"/>
      <w:numFmt w:val="bullet"/>
      <w:lvlText w:val=""/>
      <w:lvlJc w:val="left"/>
      <w:pPr>
        <w:ind w:left="1980" w:hanging="360"/>
      </w:pPr>
      <w:rPr>
        <w:rFonts w:ascii="Symbol" w:hAnsi="Symbol" w:hint="default"/>
      </w:rPr>
    </w:lvl>
    <w:lvl w:ilvl="1" w:tplc="040B0003" w:tentative="1">
      <w:start w:val="1"/>
      <w:numFmt w:val="bullet"/>
      <w:lvlText w:val="o"/>
      <w:lvlJc w:val="left"/>
      <w:pPr>
        <w:ind w:left="2700" w:hanging="360"/>
      </w:pPr>
      <w:rPr>
        <w:rFonts w:ascii="Courier New" w:hAnsi="Courier New" w:cs="Courier New" w:hint="default"/>
      </w:rPr>
    </w:lvl>
    <w:lvl w:ilvl="2" w:tplc="040B0005" w:tentative="1">
      <w:start w:val="1"/>
      <w:numFmt w:val="bullet"/>
      <w:lvlText w:val=""/>
      <w:lvlJc w:val="left"/>
      <w:pPr>
        <w:ind w:left="3420" w:hanging="360"/>
      </w:pPr>
      <w:rPr>
        <w:rFonts w:ascii="Wingdings" w:hAnsi="Wingdings" w:hint="default"/>
      </w:rPr>
    </w:lvl>
    <w:lvl w:ilvl="3" w:tplc="040B0001" w:tentative="1">
      <w:start w:val="1"/>
      <w:numFmt w:val="bullet"/>
      <w:lvlText w:val=""/>
      <w:lvlJc w:val="left"/>
      <w:pPr>
        <w:ind w:left="4140" w:hanging="360"/>
      </w:pPr>
      <w:rPr>
        <w:rFonts w:ascii="Symbol" w:hAnsi="Symbol" w:hint="default"/>
      </w:rPr>
    </w:lvl>
    <w:lvl w:ilvl="4" w:tplc="040B0003" w:tentative="1">
      <w:start w:val="1"/>
      <w:numFmt w:val="bullet"/>
      <w:lvlText w:val="o"/>
      <w:lvlJc w:val="left"/>
      <w:pPr>
        <w:ind w:left="4860" w:hanging="360"/>
      </w:pPr>
      <w:rPr>
        <w:rFonts w:ascii="Courier New" w:hAnsi="Courier New" w:cs="Courier New" w:hint="default"/>
      </w:rPr>
    </w:lvl>
    <w:lvl w:ilvl="5" w:tplc="040B0005" w:tentative="1">
      <w:start w:val="1"/>
      <w:numFmt w:val="bullet"/>
      <w:lvlText w:val=""/>
      <w:lvlJc w:val="left"/>
      <w:pPr>
        <w:ind w:left="5580" w:hanging="360"/>
      </w:pPr>
      <w:rPr>
        <w:rFonts w:ascii="Wingdings" w:hAnsi="Wingdings" w:hint="default"/>
      </w:rPr>
    </w:lvl>
    <w:lvl w:ilvl="6" w:tplc="040B0001" w:tentative="1">
      <w:start w:val="1"/>
      <w:numFmt w:val="bullet"/>
      <w:lvlText w:val=""/>
      <w:lvlJc w:val="left"/>
      <w:pPr>
        <w:ind w:left="6300" w:hanging="360"/>
      </w:pPr>
      <w:rPr>
        <w:rFonts w:ascii="Symbol" w:hAnsi="Symbol" w:hint="default"/>
      </w:rPr>
    </w:lvl>
    <w:lvl w:ilvl="7" w:tplc="040B0003" w:tentative="1">
      <w:start w:val="1"/>
      <w:numFmt w:val="bullet"/>
      <w:lvlText w:val="o"/>
      <w:lvlJc w:val="left"/>
      <w:pPr>
        <w:ind w:left="7020" w:hanging="360"/>
      </w:pPr>
      <w:rPr>
        <w:rFonts w:ascii="Courier New" w:hAnsi="Courier New" w:cs="Courier New" w:hint="default"/>
      </w:rPr>
    </w:lvl>
    <w:lvl w:ilvl="8" w:tplc="040B0005" w:tentative="1">
      <w:start w:val="1"/>
      <w:numFmt w:val="bullet"/>
      <w:lvlText w:val=""/>
      <w:lvlJc w:val="left"/>
      <w:pPr>
        <w:ind w:left="7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36"/>
    <w:rsid w:val="00234202"/>
    <w:rsid w:val="00296F89"/>
    <w:rsid w:val="008820B8"/>
    <w:rsid w:val="00A11633"/>
    <w:rsid w:val="00A84936"/>
    <w:rsid w:val="00AA56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118B"/>
  <w15:chartTrackingRefBased/>
  <w15:docId w15:val="{23CBFCBC-77ED-4592-B8E0-1DEB7F2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84936"/>
    <w:pPr>
      <w:spacing w:after="0" w:line="360" w:lineRule="auto"/>
    </w:pPr>
    <w:rPr>
      <w:rFonts w:ascii="Georgia" w:eastAsia="Tahoma" w:hAnsi="Georgia" w:cs="Tahoma"/>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84936"/>
    <w:pPr>
      <w:autoSpaceDE w:val="0"/>
      <w:autoSpaceDN w:val="0"/>
      <w:adjustRightInd w:val="0"/>
      <w:spacing w:after="0" w:line="240" w:lineRule="auto"/>
    </w:pPr>
    <w:rPr>
      <w:rFonts w:ascii="Tahoma" w:eastAsia="Tahoma" w:hAnsi="Tahoma" w:cs="Tahoma"/>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1645</Characters>
  <Application>Microsoft Office Word</Application>
  <DocSecurity>0</DocSecurity>
  <Lines>13</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 Ammattikorkeakoulu Oy</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4</cp:revision>
  <dcterms:created xsi:type="dcterms:W3CDTF">2019-12-16T06:21:00Z</dcterms:created>
  <dcterms:modified xsi:type="dcterms:W3CDTF">2019-12-16T07:31:00Z</dcterms:modified>
</cp:coreProperties>
</file>