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E93" w:rsidRDefault="008A5191">
      <w:r>
        <w:t>TYP</w:t>
      </w:r>
      <w:r w:rsidR="00CA4557">
        <w:t>A20SY_1</w:t>
      </w:r>
    </w:p>
    <w:tbl>
      <w:tblPr>
        <w:tblStyle w:val="TaulukkoRuudukko"/>
        <w:tblW w:w="9243"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730"/>
        <w:gridCol w:w="6513"/>
      </w:tblGrid>
      <w:tr w:rsidR="00D922A9" w:rsidTr="00F5469A">
        <w:tc>
          <w:tcPr>
            <w:tcW w:w="2730" w:type="dxa"/>
            <w:shd w:val="clear" w:color="auto" w:fill="31A3B5"/>
          </w:tcPr>
          <w:p w:rsidR="00D922A9" w:rsidRPr="004A2A4F" w:rsidRDefault="00D922A9" w:rsidP="008565D4">
            <w:pPr>
              <w:pStyle w:val="Kansilehdenotsikontarkenne"/>
              <w:rPr>
                <w:rFonts w:asciiTheme="minorHAnsi" w:hAnsiTheme="minorHAnsi" w:cstheme="minorHAnsi"/>
                <w:color w:val="FFC000" w:themeColor="accent4"/>
                <w:sz w:val="24"/>
              </w:rPr>
            </w:pPr>
            <w:r w:rsidRPr="004A2A4F">
              <w:rPr>
                <w:rFonts w:asciiTheme="minorHAnsi" w:hAnsiTheme="minorHAnsi" w:cstheme="minorHAnsi"/>
                <w:sz w:val="24"/>
              </w:rPr>
              <w:t>Osaamisen alue</w:t>
            </w:r>
          </w:p>
        </w:tc>
        <w:tc>
          <w:tcPr>
            <w:tcW w:w="6513" w:type="dxa"/>
            <w:shd w:val="clear" w:color="auto" w:fill="31A3B5"/>
          </w:tcPr>
          <w:p w:rsidR="00D922A9" w:rsidRPr="004A2A4F" w:rsidRDefault="00D922A9" w:rsidP="008565D4">
            <w:pPr>
              <w:pStyle w:val="Kansilehdenotsikontarkenne"/>
              <w:rPr>
                <w:rFonts w:asciiTheme="minorHAnsi" w:hAnsiTheme="minorHAnsi" w:cstheme="minorHAnsi"/>
                <w:color w:val="FFC000" w:themeColor="accent4"/>
                <w:sz w:val="24"/>
              </w:rPr>
            </w:pPr>
            <w:r w:rsidRPr="004A2A4F">
              <w:rPr>
                <w:rFonts w:asciiTheme="minorHAnsi" w:hAnsiTheme="minorHAnsi" w:cstheme="minorHAnsi"/>
                <w:sz w:val="24"/>
              </w:rPr>
              <w:t>Osaaminen tasolla 7</w:t>
            </w:r>
          </w:p>
        </w:tc>
      </w:tr>
      <w:tr w:rsidR="00D922A9" w:rsidRPr="004D78DF" w:rsidTr="00F5469A">
        <w:trPr>
          <w:trHeight w:val="1197"/>
        </w:trPr>
        <w:tc>
          <w:tcPr>
            <w:tcW w:w="2730" w:type="dxa"/>
          </w:tcPr>
          <w:p w:rsidR="00D922A9" w:rsidRPr="004A2A4F" w:rsidRDefault="00D922A9" w:rsidP="008565D4">
            <w:pPr>
              <w:rPr>
                <w:rFonts w:asciiTheme="minorHAnsi" w:hAnsiTheme="minorHAnsi" w:cstheme="minorHAnsi"/>
                <w:b/>
              </w:rPr>
            </w:pPr>
            <w:r w:rsidRPr="004A2A4F">
              <w:rPr>
                <w:rFonts w:asciiTheme="minorHAnsi" w:hAnsiTheme="minorHAnsi" w:cstheme="minorHAnsi"/>
                <w:b/>
              </w:rPr>
              <w:t>Tieto</w:t>
            </w:r>
          </w:p>
        </w:tc>
        <w:tc>
          <w:tcPr>
            <w:tcW w:w="6513" w:type="dxa"/>
          </w:tcPr>
          <w:p w:rsidR="00D922A9" w:rsidRPr="004A2A4F" w:rsidRDefault="00D922A9" w:rsidP="008565D4">
            <w:pPr>
              <w:spacing w:before="120" w:after="120"/>
              <w:rPr>
                <w:rFonts w:asciiTheme="minorHAnsi" w:hAnsiTheme="minorHAnsi" w:cstheme="minorHAnsi"/>
              </w:rPr>
            </w:pPr>
            <w:r>
              <w:rPr>
                <w:rFonts w:asciiTheme="minorHAnsi" w:hAnsiTheme="minorHAnsi" w:cstheme="minorHAnsi"/>
              </w:rPr>
              <w:t>H</w:t>
            </w:r>
            <w:r w:rsidRPr="004A2A4F">
              <w:rPr>
                <w:rFonts w:asciiTheme="minorHAnsi" w:hAnsiTheme="minorHAnsi" w:cstheme="minorHAnsi"/>
              </w:rPr>
              <w:t>allitsee laaja-alaiset ja pitkälle erikoistuneet oman alansa erityisosaamista vastaavat käsitteet, menetelmät ja tiedot, joita käytetään itsenäisen ajattelun ja/tai tutkimuksen perustana.  Ymmärtää alan ja eri alojen rajapintojen tietoihin liittyviä kysymyksiä ja tarkastelee niitä ja uutta tietoa kriittisesti.</w:t>
            </w:r>
          </w:p>
        </w:tc>
      </w:tr>
      <w:tr w:rsidR="00D922A9" w:rsidRPr="004D78DF" w:rsidTr="00F5469A">
        <w:tc>
          <w:tcPr>
            <w:tcW w:w="2730" w:type="dxa"/>
          </w:tcPr>
          <w:p w:rsidR="00D922A9" w:rsidRPr="004A2A4F" w:rsidRDefault="00D922A9" w:rsidP="008565D4">
            <w:pPr>
              <w:spacing w:after="120"/>
              <w:rPr>
                <w:rFonts w:asciiTheme="minorHAnsi" w:hAnsiTheme="minorHAnsi" w:cstheme="minorHAnsi"/>
                <w:b/>
              </w:rPr>
            </w:pPr>
            <w:r w:rsidRPr="004A2A4F">
              <w:rPr>
                <w:rFonts w:asciiTheme="minorHAnsi" w:hAnsiTheme="minorHAnsi" w:cstheme="minorHAnsi"/>
                <w:b/>
              </w:rPr>
              <w:t xml:space="preserve">Työskentelytapa ja soveltaminen </w:t>
            </w:r>
            <w:r w:rsidRPr="004A2A4F">
              <w:rPr>
                <w:rFonts w:asciiTheme="minorHAnsi" w:hAnsiTheme="minorHAnsi" w:cstheme="minorHAnsi"/>
                <w:b/>
              </w:rPr>
              <w:br/>
              <w:t>(taito)</w:t>
            </w:r>
          </w:p>
        </w:tc>
        <w:tc>
          <w:tcPr>
            <w:tcW w:w="6513" w:type="dxa"/>
          </w:tcPr>
          <w:p w:rsidR="00D922A9" w:rsidRPr="004A2A4F" w:rsidRDefault="00D922A9" w:rsidP="008565D4">
            <w:pPr>
              <w:spacing w:before="120" w:after="120"/>
              <w:rPr>
                <w:rFonts w:asciiTheme="minorHAnsi" w:hAnsiTheme="minorHAnsi" w:cstheme="minorHAnsi"/>
              </w:rPr>
            </w:pPr>
            <w:r>
              <w:rPr>
                <w:rFonts w:asciiTheme="minorHAnsi" w:hAnsiTheme="minorHAnsi" w:cstheme="minorHAnsi"/>
              </w:rPr>
              <w:t>K</w:t>
            </w:r>
            <w:r w:rsidRPr="004A2A4F">
              <w:rPr>
                <w:rFonts w:asciiTheme="minorHAnsi" w:hAnsiTheme="minorHAnsi" w:cstheme="minorHAnsi"/>
              </w:rPr>
              <w:t>ykenee ratkaisemaan vaativia ongelmia tutkimus- ja/ tai innovaatiotoiminnassa, jossa kehitetään uusia tietoja ja menettelyjä sekä sovelletaan ja yhdistetään eri alojen tietoja.</w:t>
            </w:r>
          </w:p>
        </w:tc>
      </w:tr>
      <w:tr w:rsidR="00D922A9" w:rsidTr="00F5469A">
        <w:tc>
          <w:tcPr>
            <w:tcW w:w="2730" w:type="dxa"/>
          </w:tcPr>
          <w:p w:rsidR="00D922A9" w:rsidRPr="004A2A4F" w:rsidRDefault="00D922A9" w:rsidP="008565D4">
            <w:pPr>
              <w:rPr>
                <w:rFonts w:asciiTheme="minorHAnsi" w:hAnsiTheme="minorHAnsi" w:cstheme="minorHAnsi"/>
                <w:b/>
              </w:rPr>
            </w:pPr>
            <w:r w:rsidRPr="004A2A4F">
              <w:rPr>
                <w:rFonts w:asciiTheme="minorHAnsi" w:hAnsiTheme="minorHAnsi" w:cstheme="minorHAnsi"/>
                <w:b/>
              </w:rPr>
              <w:t xml:space="preserve">Vastuu, </w:t>
            </w:r>
            <w:r w:rsidRPr="004A2A4F">
              <w:rPr>
                <w:rFonts w:asciiTheme="minorHAnsi" w:hAnsiTheme="minorHAnsi" w:cstheme="minorHAnsi"/>
                <w:b/>
              </w:rPr>
              <w:br/>
              <w:t xml:space="preserve">johtaminen, </w:t>
            </w:r>
            <w:r w:rsidRPr="004A2A4F">
              <w:rPr>
                <w:rFonts w:asciiTheme="minorHAnsi" w:hAnsiTheme="minorHAnsi" w:cstheme="minorHAnsi"/>
                <w:b/>
              </w:rPr>
              <w:br/>
              <w:t>yrittäjyys</w:t>
            </w:r>
          </w:p>
        </w:tc>
        <w:tc>
          <w:tcPr>
            <w:tcW w:w="6513" w:type="dxa"/>
          </w:tcPr>
          <w:p w:rsidR="00D922A9" w:rsidRPr="004A2A4F" w:rsidRDefault="00D922A9" w:rsidP="008565D4">
            <w:pPr>
              <w:spacing w:before="120" w:after="120"/>
              <w:rPr>
                <w:rFonts w:asciiTheme="minorHAnsi" w:hAnsiTheme="minorHAnsi" w:cstheme="minorHAnsi"/>
              </w:rPr>
            </w:pPr>
            <w:r>
              <w:rPr>
                <w:rFonts w:asciiTheme="minorHAnsi" w:hAnsiTheme="minorHAnsi" w:cstheme="minorHAnsi"/>
              </w:rPr>
              <w:t>K</w:t>
            </w:r>
            <w:r w:rsidRPr="004A2A4F">
              <w:rPr>
                <w:rFonts w:asciiTheme="minorHAnsi" w:hAnsiTheme="minorHAnsi" w:cstheme="minorHAnsi"/>
              </w:rPr>
              <w:t>ykenee työskentelemään itsenäisesti alan vaativissa asiantuntijatehtävissä tai yrittäjänä. Kykenee johtamaan ja kehittämään monimutkaisia, ennakoimattomia ja uusia strategisia lähestymistapoja.  Kykenee johtamaan asioita ja ihmisiä.</w:t>
            </w:r>
          </w:p>
        </w:tc>
      </w:tr>
      <w:tr w:rsidR="00D922A9" w:rsidRPr="004D78DF" w:rsidTr="00F5469A">
        <w:tc>
          <w:tcPr>
            <w:tcW w:w="2730" w:type="dxa"/>
          </w:tcPr>
          <w:p w:rsidR="00D922A9" w:rsidRPr="004A2A4F" w:rsidRDefault="00D922A9" w:rsidP="008565D4">
            <w:pPr>
              <w:rPr>
                <w:rFonts w:asciiTheme="minorHAnsi" w:hAnsiTheme="minorHAnsi" w:cstheme="minorHAnsi"/>
                <w:b/>
              </w:rPr>
            </w:pPr>
            <w:r w:rsidRPr="004A2A4F">
              <w:rPr>
                <w:rFonts w:asciiTheme="minorHAnsi" w:hAnsiTheme="minorHAnsi" w:cstheme="minorHAnsi"/>
                <w:b/>
              </w:rPr>
              <w:t>Arviointi</w:t>
            </w:r>
          </w:p>
        </w:tc>
        <w:tc>
          <w:tcPr>
            <w:tcW w:w="6513" w:type="dxa"/>
          </w:tcPr>
          <w:p w:rsidR="00D922A9" w:rsidRPr="004A2A4F" w:rsidRDefault="00D922A9" w:rsidP="008565D4">
            <w:pPr>
              <w:spacing w:before="120" w:after="120"/>
              <w:rPr>
                <w:rFonts w:asciiTheme="minorHAnsi" w:hAnsiTheme="minorHAnsi" w:cstheme="minorHAnsi"/>
                <w:b/>
              </w:rPr>
            </w:pPr>
            <w:r>
              <w:rPr>
                <w:rFonts w:asciiTheme="minorHAnsi" w:hAnsiTheme="minorHAnsi" w:cstheme="minorHAnsi"/>
              </w:rPr>
              <w:t>K</w:t>
            </w:r>
            <w:r w:rsidRPr="004A2A4F">
              <w:rPr>
                <w:rFonts w:asciiTheme="minorHAnsi" w:hAnsiTheme="minorHAnsi" w:cstheme="minorHAnsi"/>
              </w:rPr>
              <w:t>ykenee arvioimaan yksittäisten henkilöiden ja ryhmien toimintaa. Hän kykenee kartuttamaan oman alansa tietoja ja käytäntöjä ja vastaamaan muiden kehityksestä.</w:t>
            </w:r>
          </w:p>
        </w:tc>
      </w:tr>
      <w:tr w:rsidR="00D922A9" w:rsidRPr="004D78DF" w:rsidTr="00F5469A">
        <w:tc>
          <w:tcPr>
            <w:tcW w:w="2730" w:type="dxa"/>
          </w:tcPr>
          <w:p w:rsidR="00D922A9" w:rsidRPr="004A2A4F" w:rsidRDefault="00D922A9" w:rsidP="008565D4">
            <w:pPr>
              <w:rPr>
                <w:rFonts w:asciiTheme="minorHAnsi" w:hAnsiTheme="minorHAnsi" w:cstheme="minorHAnsi"/>
                <w:b/>
                <w:lang w:val="en-US"/>
              </w:rPr>
            </w:pPr>
            <w:r w:rsidRPr="004A2A4F">
              <w:rPr>
                <w:rFonts w:asciiTheme="minorHAnsi" w:hAnsiTheme="minorHAnsi" w:cstheme="minorHAnsi"/>
                <w:b/>
                <w:lang w:val="en-US"/>
              </w:rPr>
              <w:t xml:space="preserve">Elinikäisen </w:t>
            </w:r>
            <w:r w:rsidRPr="004A2A4F">
              <w:rPr>
                <w:rFonts w:asciiTheme="minorHAnsi" w:hAnsiTheme="minorHAnsi" w:cstheme="minorHAnsi"/>
                <w:b/>
                <w:lang w:val="en-US"/>
              </w:rPr>
              <w:br/>
              <w:t xml:space="preserve">oppimisen </w:t>
            </w:r>
            <w:r w:rsidRPr="004A2A4F">
              <w:rPr>
                <w:rFonts w:asciiTheme="minorHAnsi" w:hAnsiTheme="minorHAnsi" w:cstheme="minorHAnsi"/>
                <w:b/>
                <w:lang w:val="en-US"/>
              </w:rPr>
              <w:br/>
              <w:t>avaintaidot</w:t>
            </w:r>
          </w:p>
        </w:tc>
        <w:tc>
          <w:tcPr>
            <w:tcW w:w="6513" w:type="dxa"/>
          </w:tcPr>
          <w:p w:rsidR="00D922A9" w:rsidRPr="004A2A4F" w:rsidRDefault="00D922A9" w:rsidP="008565D4">
            <w:pPr>
              <w:spacing w:before="120" w:after="120"/>
              <w:rPr>
                <w:rFonts w:asciiTheme="minorHAnsi" w:hAnsiTheme="minorHAnsi" w:cstheme="minorHAnsi"/>
              </w:rPr>
            </w:pPr>
            <w:r>
              <w:rPr>
                <w:rFonts w:asciiTheme="minorHAnsi" w:hAnsiTheme="minorHAnsi" w:cstheme="minorHAnsi"/>
              </w:rPr>
              <w:t>O</w:t>
            </w:r>
            <w:r w:rsidRPr="004A2A4F">
              <w:rPr>
                <w:rFonts w:asciiTheme="minorHAnsi" w:hAnsiTheme="minorHAnsi" w:cstheme="minorHAnsi"/>
              </w:rPr>
              <w:t>maa valmiudet jatkuvaan oppimiseen. Hän osaa viestiä hyvin suullisesti ja kirjallisesti sekä alan että alan ulkopuoliselle yleisölle.  Hän kykenee vaativaan kansainväliseen viestintään ja vuorovaikutukseen toisella kotimaisella ja vähintään yhdellä vieraalla kielellä.</w:t>
            </w:r>
          </w:p>
        </w:tc>
      </w:tr>
    </w:tbl>
    <w:p w:rsidR="00CA4557" w:rsidRDefault="00CA4557"/>
    <w:p w:rsidR="00CA4557" w:rsidRDefault="00CA4557"/>
    <w:p w:rsidR="00CA4557" w:rsidRDefault="008A5191">
      <w:r>
        <w:t>TYP</w:t>
      </w:r>
      <w:r w:rsidR="00CA4557">
        <w:t>A20SY_2</w:t>
      </w:r>
    </w:p>
    <w:tbl>
      <w:tblPr>
        <w:tblStyle w:val="TaulukkoRuudukko"/>
        <w:tblW w:w="9243"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2722"/>
        <w:gridCol w:w="6521"/>
      </w:tblGrid>
      <w:tr w:rsidR="00CA4557" w:rsidRPr="00243775" w:rsidTr="00F5469A">
        <w:tc>
          <w:tcPr>
            <w:tcW w:w="2722" w:type="dxa"/>
            <w:shd w:val="clear" w:color="auto" w:fill="31A3B5"/>
          </w:tcPr>
          <w:p w:rsidR="00CA4557" w:rsidRPr="004A2A4F" w:rsidRDefault="00CA4557" w:rsidP="00AC2C38">
            <w:pPr>
              <w:pStyle w:val="Kansilehdenotsikontarkenne"/>
              <w:rPr>
                <w:rFonts w:asciiTheme="minorHAnsi" w:hAnsiTheme="minorHAnsi" w:cstheme="minorHAnsi"/>
                <w:sz w:val="24"/>
              </w:rPr>
            </w:pPr>
            <w:r w:rsidRPr="004A2A4F">
              <w:rPr>
                <w:rFonts w:asciiTheme="minorHAnsi" w:hAnsiTheme="minorHAnsi" w:cstheme="minorHAnsi"/>
                <w:sz w:val="24"/>
              </w:rPr>
              <w:t>Yleiset kompetenssit</w:t>
            </w:r>
            <w:r w:rsidRPr="004A2A4F">
              <w:rPr>
                <w:rFonts w:asciiTheme="minorHAnsi" w:hAnsiTheme="minorHAnsi" w:cstheme="minorHAnsi"/>
                <w:sz w:val="24"/>
              </w:rPr>
              <w:br/>
              <w:t>(Generic competences)</w:t>
            </w:r>
          </w:p>
        </w:tc>
        <w:tc>
          <w:tcPr>
            <w:tcW w:w="6521" w:type="dxa"/>
            <w:shd w:val="clear" w:color="auto" w:fill="31A3B5"/>
          </w:tcPr>
          <w:p w:rsidR="00CA4557" w:rsidRPr="004A2A4F" w:rsidRDefault="00CA4557" w:rsidP="00AC2C38">
            <w:pPr>
              <w:pStyle w:val="Kansilehdenotsikontarkenne"/>
              <w:rPr>
                <w:rFonts w:asciiTheme="minorHAnsi" w:hAnsiTheme="minorHAnsi" w:cstheme="minorHAnsi"/>
                <w:color w:val="FFC000" w:themeColor="accent4"/>
                <w:sz w:val="24"/>
                <w:lang w:val="en-US"/>
              </w:rPr>
            </w:pPr>
            <w:r w:rsidRPr="004A2A4F">
              <w:rPr>
                <w:rFonts w:asciiTheme="minorHAnsi" w:hAnsiTheme="minorHAnsi" w:cstheme="minorHAnsi"/>
                <w:sz w:val="24"/>
                <w:lang w:val="en-US"/>
              </w:rPr>
              <w:t>Osaamisen kuvaus (taso 7)</w:t>
            </w:r>
            <w:r w:rsidRPr="004A2A4F">
              <w:rPr>
                <w:rFonts w:asciiTheme="minorHAnsi" w:hAnsiTheme="minorHAnsi" w:cstheme="minorHAnsi"/>
                <w:sz w:val="24"/>
                <w:lang w:val="en-US"/>
              </w:rPr>
              <w:br/>
              <w:t>(Description of the competence)</w:t>
            </w:r>
          </w:p>
        </w:tc>
      </w:tr>
      <w:tr w:rsidR="00CA4557" w:rsidRPr="004A2A4F" w:rsidTr="00F5469A">
        <w:tc>
          <w:tcPr>
            <w:tcW w:w="2722" w:type="dxa"/>
          </w:tcPr>
          <w:p w:rsidR="00CA4557" w:rsidRPr="004A2A4F" w:rsidRDefault="00CA4557" w:rsidP="00AC2C38">
            <w:pPr>
              <w:spacing w:before="120" w:after="120"/>
              <w:rPr>
                <w:rFonts w:asciiTheme="minorHAnsi" w:hAnsiTheme="minorHAnsi" w:cstheme="minorHAnsi"/>
              </w:rPr>
            </w:pPr>
            <w:r w:rsidRPr="004A2A4F">
              <w:rPr>
                <w:rFonts w:asciiTheme="minorHAnsi" w:hAnsiTheme="minorHAnsi" w:cstheme="minorHAnsi"/>
                <w:b/>
              </w:rPr>
              <w:t>Oppimisen taidot</w:t>
            </w:r>
            <w:r w:rsidRPr="004A2A4F">
              <w:rPr>
                <w:rFonts w:asciiTheme="minorHAnsi" w:hAnsiTheme="minorHAnsi" w:cstheme="minorHAnsi"/>
                <w:b/>
              </w:rPr>
              <w:br/>
            </w:r>
            <w:r w:rsidRPr="004A2A4F">
              <w:rPr>
                <w:rFonts w:asciiTheme="minorHAnsi" w:hAnsiTheme="minorHAnsi" w:cstheme="minorHAnsi"/>
                <w:i/>
              </w:rPr>
              <w:t>(Learning competence)</w:t>
            </w:r>
          </w:p>
        </w:tc>
        <w:tc>
          <w:tcPr>
            <w:tcW w:w="6521" w:type="dxa"/>
          </w:tcPr>
          <w:p w:rsidR="00CA4557" w:rsidRPr="004A2A4F" w:rsidRDefault="00CA4557" w:rsidP="00CA4557">
            <w:pPr>
              <w:pStyle w:val="Luettelokappale"/>
              <w:numPr>
                <w:ilvl w:val="0"/>
                <w:numId w:val="2"/>
              </w:numPr>
              <w:spacing w:line="240" w:lineRule="auto"/>
              <w:rPr>
                <w:rFonts w:asciiTheme="minorHAnsi" w:eastAsia="Tahoma" w:hAnsiTheme="minorHAnsi" w:cstheme="minorHAnsi"/>
                <w:szCs w:val="20"/>
              </w:rPr>
            </w:pPr>
            <w:r w:rsidRPr="004A2A4F">
              <w:rPr>
                <w:rFonts w:asciiTheme="minorHAnsi" w:eastAsia="Tahoma" w:hAnsiTheme="minorHAnsi" w:cstheme="minorHAnsi"/>
                <w:szCs w:val="20"/>
              </w:rPr>
              <w:t>osaa monipuolisesti ja tavoitteellisesti arvioida ja kehittää asiantuntijuuttaan</w:t>
            </w:r>
          </w:p>
          <w:p w:rsidR="00CA4557" w:rsidRPr="004A2A4F" w:rsidRDefault="00CA4557" w:rsidP="00CA4557">
            <w:pPr>
              <w:pStyle w:val="Luettelokappale"/>
              <w:numPr>
                <w:ilvl w:val="0"/>
                <w:numId w:val="2"/>
              </w:numPr>
              <w:spacing w:line="240" w:lineRule="auto"/>
              <w:rPr>
                <w:rFonts w:asciiTheme="minorHAnsi" w:eastAsia="Tahoma" w:hAnsiTheme="minorHAnsi" w:cstheme="minorHAnsi"/>
                <w:szCs w:val="20"/>
              </w:rPr>
            </w:pPr>
            <w:r w:rsidRPr="004A2A4F">
              <w:rPr>
                <w:rFonts w:asciiTheme="minorHAnsi" w:eastAsia="Tahoma" w:hAnsiTheme="minorHAnsi" w:cstheme="minorHAnsi"/>
                <w:szCs w:val="20"/>
              </w:rPr>
              <w:t>osaa hankkia, käsitellä, tuottaa ja arvioida tietoa kriittisesti ja eri alojen näkökulmista</w:t>
            </w:r>
          </w:p>
          <w:p w:rsidR="00CA4557" w:rsidRPr="004A2A4F" w:rsidRDefault="00CA4557" w:rsidP="00CA4557">
            <w:pPr>
              <w:pStyle w:val="Luettelokappale"/>
              <w:numPr>
                <w:ilvl w:val="0"/>
                <w:numId w:val="2"/>
              </w:numPr>
              <w:spacing w:line="240" w:lineRule="auto"/>
              <w:rPr>
                <w:rFonts w:asciiTheme="minorHAnsi" w:eastAsia="Tahoma" w:hAnsiTheme="minorHAnsi" w:cstheme="minorHAnsi"/>
                <w:szCs w:val="20"/>
              </w:rPr>
            </w:pPr>
            <w:r w:rsidRPr="004A2A4F">
              <w:rPr>
                <w:rFonts w:asciiTheme="minorHAnsi" w:eastAsia="Tahoma" w:hAnsiTheme="minorHAnsi" w:cstheme="minorHAnsi"/>
                <w:szCs w:val="20"/>
              </w:rPr>
              <w:t>kykenee ottamaan vastuuta yhteisöntavoitteellisesta oppimisesta</w:t>
            </w:r>
          </w:p>
        </w:tc>
      </w:tr>
      <w:tr w:rsidR="00CA4557" w:rsidRPr="004A2A4F" w:rsidTr="00F5469A">
        <w:tc>
          <w:tcPr>
            <w:tcW w:w="2722" w:type="dxa"/>
          </w:tcPr>
          <w:p w:rsidR="00CA4557" w:rsidRPr="004A2A4F" w:rsidRDefault="00CA4557" w:rsidP="00AC2C38">
            <w:pPr>
              <w:spacing w:before="120" w:after="120"/>
              <w:rPr>
                <w:rFonts w:asciiTheme="minorHAnsi" w:hAnsiTheme="minorHAnsi" w:cstheme="minorHAnsi"/>
              </w:rPr>
            </w:pPr>
            <w:r w:rsidRPr="004A2A4F">
              <w:rPr>
                <w:rFonts w:asciiTheme="minorHAnsi" w:hAnsiTheme="minorHAnsi" w:cstheme="minorHAnsi"/>
                <w:b/>
              </w:rPr>
              <w:t>Eettinen osaaminen</w:t>
            </w:r>
            <w:r w:rsidRPr="004A2A4F">
              <w:rPr>
                <w:rFonts w:asciiTheme="minorHAnsi" w:hAnsiTheme="minorHAnsi" w:cstheme="minorHAnsi"/>
              </w:rPr>
              <w:br/>
            </w:r>
            <w:r w:rsidRPr="004A2A4F">
              <w:rPr>
                <w:rFonts w:asciiTheme="minorHAnsi" w:hAnsiTheme="minorHAnsi" w:cstheme="minorHAnsi"/>
                <w:i/>
              </w:rPr>
              <w:t>(Ethical competence)</w:t>
            </w:r>
          </w:p>
        </w:tc>
        <w:tc>
          <w:tcPr>
            <w:tcW w:w="6521" w:type="dxa"/>
          </w:tcPr>
          <w:p w:rsidR="00CA4557" w:rsidRPr="004A2A4F" w:rsidRDefault="00CA4557" w:rsidP="00CA4557">
            <w:pPr>
              <w:pStyle w:val="Luettelokappale"/>
              <w:numPr>
                <w:ilvl w:val="0"/>
                <w:numId w:val="3"/>
              </w:numPr>
              <w:spacing w:line="240" w:lineRule="auto"/>
              <w:rPr>
                <w:rFonts w:asciiTheme="minorHAnsi" w:eastAsia="Tahoma" w:hAnsiTheme="minorHAnsi" w:cstheme="minorHAnsi"/>
                <w:szCs w:val="20"/>
              </w:rPr>
            </w:pPr>
            <w:r w:rsidRPr="004A2A4F">
              <w:rPr>
                <w:rFonts w:asciiTheme="minorHAnsi" w:eastAsia="Tahoma" w:hAnsiTheme="minorHAnsi" w:cstheme="minorHAnsi"/>
                <w:szCs w:val="20"/>
              </w:rPr>
              <w:t xml:space="preserve">kykenee ottamaan vastuun omasta toiminnastaan ja sen seurauksista </w:t>
            </w:r>
          </w:p>
          <w:p w:rsidR="00CA4557" w:rsidRPr="004A2A4F" w:rsidRDefault="00CA4557" w:rsidP="00CA4557">
            <w:pPr>
              <w:pStyle w:val="Luettelokappale"/>
              <w:numPr>
                <w:ilvl w:val="0"/>
                <w:numId w:val="3"/>
              </w:numPr>
              <w:spacing w:line="240" w:lineRule="auto"/>
              <w:rPr>
                <w:rFonts w:asciiTheme="minorHAnsi" w:eastAsia="Tahoma" w:hAnsiTheme="minorHAnsi" w:cstheme="minorHAnsi"/>
                <w:szCs w:val="20"/>
              </w:rPr>
            </w:pPr>
            <w:r w:rsidRPr="004A2A4F">
              <w:rPr>
                <w:rFonts w:asciiTheme="minorHAnsi" w:eastAsia="Tahoma" w:hAnsiTheme="minorHAnsi" w:cstheme="minorHAnsi"/>
                <w:szCs w:val="20"/>
              </w:rPr>
              <w:t xml:space="preserve">osaa soveltaa alansa ammattieettisiä periaatteita asiantuntijana ja työelämän kehittäjänä </w:t>
            </w:r>
          </w:p>
          <w:p w:rsidR="00CA4557" w:rsidRPr="004A2A4F" w:rsidRDefault="00CA4557" w:rsidP="00CA4557">
            <w:pPr>
              <w:pStyle w:val="Luettelokappale"/>
              <w:numPr>
                <w:ilvl w:val="0"/>
                <w:numId w:val="3"/>
              </w:numPr>
              <w:spacing w:line="240" w:lineRule="auto"/>
              <w:rPr>
                <w:rFonts w:asciiTheme="minorHAnsi" w:eastAsia="Tahoma" w:hAnsiTheme="minorHAnsi" w:cstheme="minorHAnsi"/>
                <w:szCs w:val="20"/>
              </w:rPr>
            </w:pPr>
            <w:r w:rsidRPr="004A2A4F">
              <w:rPr>
                <w:rFonts w:asciiTheme="minorHAnsi" w:eastAsia="Tahoma" w:hAnsiTheme="minorHAnsi" w:cstheme="minorHAnsi"/>
                <w:szCs w:val="20"/>
              </w:rPr>
              <w:t>osaa tehdä ratkaisuja ottaen huomioon yksilön ja yhteisön</w:t>
            </w:r>
          </w:p>
          <w:p w:rsidR="00CA4557" w:rsidRPr="004A2A4F" w:rsidRDefault="00CA4557" w:rsidP="00CA4557">
            <w:pPr>
              <w:pStyle w:val="Luettelokappale"/>
              <w:numPr>
                <w:ilvl w:val="0"/>
                <w:numId w:val="3"/>
              </w:numPr>
              <w:spacing w:line="240" w:lineRule="auto"/>
              <w:rPr>
                <w:rFonts w:asciiTheme="minorHAnsi" w:eastAsia="Tahoma" w:hAnsiTheme="minorHAnsi" w:cstheme="minorHAnsi"/>
                <w:szCs w:val="20"/>
              </w:rPr>
            </w:pPr>
            <w:r w:rsidRPr="004A2A4F">
              <w:rPr>
                <w:rFonts w:asciiTheme="minorHAnsi" w:eastAsia="Tahoma" w:hAnsiTheme="minorHAnsi" w:cstheme="minorHAnsi"/>
                <w:szCs w:val="20"/>
              </w:rPr>
              <w:t>näkökulmat</w:t>
            </w:r>
          </w:p>
          <w:p w:rsidR="00CA4557" w:rsidRPr="004A2A4F" w:rsidRDefault="00CA4557" w:rsidP="00CA4557">
            <w:pPr>
              <w:pStyle w:val="Luettelokappale"/>
              <w:numPr>
                <w:ilvl w:val="0"/>
                <w:numId w:val="3"/>
              </w:numPr>
              <w:spacing w:line="240" w:lineRule="auto"/>
              <w:rPr>
                <w:rFonts w:asciiTheme="minorHAnsi" w:eastAsia="Tahoma" w:hAnsiTheme="minorHAnsi" w:cstheme="minorHAnsi"/>
                <w:szCs w:val="20"/>
              </w:rPr>
            </w:pPr>
            <w:r w:rsidRPr="004A2A4F">
              <w:rPr>
                <w:rFonts w:asciiTheme="minorHAnsi" w:eastAsia="Tahoma" w:hAnsiTheme="minorHAnsi" w:cstheme="minorHAnsi"/>
                <w:szCs w:val="20"/>
              </w:rPr>
              <w:t>osaa edistää a tasa-arvoisuuden periaatteiden toteutumista työyhteisössä</w:t>
            </w:r>
          </w:p>
          <w:p w:rsidR="00CA4557" w:rsidRPr="004A2A4F" w:rsidRDefault="00CA4557" w:rsidP="00CA4557">
            <w:pPr>
              <w:pStyle w:val="Luettelokappale"/>
              <w:numPr>
                <w:ilvl w:val="0"/>
                <w:numId w:val="3"/>
              </w:numPr>
              <w:spacing w:line="240" w:lineRule="auto"/>
              <w:rPr>
                <w:rFonts w:asciiTheme="minorHAnsi" w:eastAsia="Tahoma" w:hAnsiTheme="minorHAnsi" w:cstheme="minorHAnsi"/>
                <w:szCs w:val="20"/>
              </w:rPr>
            </w:pPr>
            <w:r w:rsidRPr="004A2A4F">
              <w:rPr>
                <w:rFonts w:asciiTheme="minorHAnsi" w:eastAsia="Tahoma" w:hAnsiTheme="minorHAnsi" w:cstheme="minorHAnsi"/>
                <w:szCs w:val="20"/>
              </w:rPr>
              <w:t>osaa edistää kestävän kehityksen periaatteiden ja yhteiskuntavastuun toteutumista</w:t>
            </w:r>
          </w:p>
          <w:p w:rsidR="00CA4557" w:rsidRPr="004A2A4F" w:rsidRDefault="00CA4557" w:rsidP="00CA4557">
            <w:pPr>
              <w:pStyle w:val="Luettelokappale"/>
              <w:numPr>
                <w:ilvl w:val="0"/>
                <w:numId w:val="3"/>
              </w:numPr>
              <w:spacing w:line="240" w:lineRule="auto"/>
              <w:rPr>
                <w:rFonts w:asciiTheme="minorHAnsi" w:eastAsia="Tahoma" w:hAnsiTheme="minorHAnsi" w:cstheme="minorHAnsi"/>
                <w:szCs w:val="20"/>
              </w:rPr>
            </w:pPr>
            <w:r w:rsidRPr="004A2A4F">
              <w:rPr>
                <w:rFonts w:asciiTheme="minorHAnsi" w:eastAsia="Tahoma" w:hAnsiTheme="minorHAnsi" w:cstheme="minorHAnsi"/>
                <w:szCs w:val="20"/>
              </w:rPr>
              <w:t>kykenee johtamaan yhteiskunnallisesti vaikuttavaa toimintaa eettisiin arvoihin perustuen</w:t>
            </w:r>
          </w:p>
        </w:tc>
      </w:tr>
      <w:tr w:rsidR="00CA4557" w:rsidRPr="004A2A4F" w:rsidTr="00F5469A">
        <w:tc>
          <w:tcPr>
            <w:tcW w:w="2722" w:type="dxa"/>
          </w:tcPr>
          <w:p w:rsidR="00CA4557" w:rsidRPr="004A2A4F" w:rsidRDefault="00CA4557" w:rsidP="00AC2C38">
            <w:pPr>
              <w:spacing w:before="120" w:after="120"/>
              <w:rPr>
                <w:rFonts w:asciiTheme="minorHAnsi" w:hAnsiTheme="minorHAnsi" w:cstheme="minorHAnsi"/>
                <w:lang w:val="en-US"/>
              </w:rPr>
            </w:pPr>
            <w:r w:rsidRPr="004A2A4F">
              <w:rPr>
                <w:rFonts w:asciiTheme="minorHAnsi" w:hAnsiTheme="minorHAnsi" w:cstheme="minorHAnsi"/>
                <w:b/>
                <w:lang w:val="en-US"/>
              </w:rPr>
              <w:lastRenderedPageBreak/>
              <w:t>Työyhteisöosaaminen</w:t>
            </w:r>
            <w:r w:rsidRPr="004A2A4F">
              <w:rPr>
                <w:rFonts w:asciiTheme="minorHAnsi" w:hAnsiTheme="minorHAnsi" w:cstheme="minorHAnsi"/>
                <w:lang w:val="en-US"/>
              </w:rPr>
              <w:br/>
            </w:r>
            <w:r w:rsidRPr="004A2A4F">
              <w:rPr>
                <w:rFonts w:asciiTheme="minorHAnsi" w:hAnsiTheme="minorHAnsi" w:cstheme="minorHAnsi"/>
                <w:i/>
                <w:lang w:val="en-US"/>
              </w:rPr>
              <w:t xml:space="preserve">(Working community </w:t>
            </w:r>
            <w:r w:rsidRPr="004A2A4F">
              <w:rPr>
                <w:rFonts w:asciiTheme="minorHAnsi" w:hAnsiTheme="minorHAnsi" w:cstheme="minorHAnsi"/>
                <w:i/>
                <w:lang w:val="en-US"/>
              </w:rPr>
              <w:br/>
              <w:t>competence)</w:t>
            </w:r>
          </w:p>
        </w:tc>
        <w:tc>
          <w:tcPr>
            <w:tcW w:w="6521" w:type="dxa"/>
          </w:tcPr>
          <w:p w:rsidR="00CA4557" w:rsidRPr="004A2A4F" w:rsidRDefault="00CA4557" w:rsidP="00CA4557">
            <w:pPr>
              <w:pStyle w:val="Luettelokappale"/>
              <w:numPr>
                <w:ilvl w:val="0"/>
                <w:numId w:val="3"/>
              </w:numPr>
              <w:spacing w:line="240" w:lineRule="auto"/>
              <w:rPr>
                <w:rFonts w:asciiTheme="minorHAnsi" w:eastAsia="Tahoma" w:hAnsiTheme="minorHAnsi" w:cstheme="minorHAnsi"/>
                <w:szCs w:val="20"/>
              </w:rPr>
            </w:pPr>
            <w:r w:rsidRPr="004A2A4F">
              <w:rPr>
                <w:rFonts w:asciiTheme="minorHAnsi" w:eastAsia="Tahoma" w:hAnsiTheme="minorHAnsi" w:cstheme="minorHAnsi"/>
                <w:szCs w:val="20"/>
              </w:rPr>
              <w:t xml:space="preserve">osaa kehittää työyhteisön toimintaa ja työhyvinvointia </w:t>
            </w:r>
          </w:p>
          <w:p w:rsidR="00CA4557" w:rsidRPr="004A2A4F" w:rsidRDefault="00CA4557" w:rsidP="00CA4557">
            <w:pPr>
              <w:pStyle w:val="Luettelokappale"/>
              <w:numPr>
                <w:ilvl w:val="0"/>
                <w:numId w:val="3"/>
              </w:numPr>
              <w:spacing w:line="240" w:lineRule="auto"/>
              <w:rPr>
                <w:rFonts w:asciiTheme="minorHAnsi" w:eastAsia="Tahoma" w:hAnsiTheme="minorHAnsi" w:cstheme="minorHAnsi"/>
                <w:szCs w:val="20"/>
              </w:rPr>
            </w:pPr>
            <w:r w:rsidRPr="004A2A4F">
              <w:rPr>
                <w:rFonts w:asciiTheme="minorHAnsi" w:eastAsia="Tahoma" w:hAnsiTheme="minorHAnsi" w:cstheme="minorHAnsi"/>
                <w:szCs w:val="20"/>
              </w:rPr>
              <w:t>osaa kehittää työelämän monialaista viestintää ja vuorovaikutusta</w:t>
            </w:r>
          </w:p>
          <w:p w:rsidR="00CA4557" w:rsidRPr="004A2A4F" w:rsidRDefault="00CA4557" w:rsidP="00CA4557">
            <w:pPr>
              <w:pStyle w:val="Luettelokappale"/>
              <w:numPr>
                <w:ilvl w:val="0"/>
                <w:numId w:val="3"/>
              </w:numPr>
              <w:spacing w:line="240" w:lineRule="auto"/>
              <w:rPr>
                <w:rFonts w:asciiTheme="minorHAnsi" w:eastAsia="Tahoma" w:hAnsiTheme="minorHAnsi" w:cstheme="minorHAnsi"/>
                <w:szCs w:val="20"/>
              </w:rPr>
            </w:pPr>
            <w:r w:rsidRPr="004A2A4F">
              <w:rPr>
                <w:rFonts w:asciiTheme="minorHAnsi" w:eastAsia="Tahoma" w:hAnsiTheme="minorHAnsi" w:cstheme="minorHAnsi"/>
                <w:szCs w:val="20"/>
              </w:rPr>
              <w:t xml:space="preserve">osaa soveltaa tieto- ja viestintätekniikkaa tehtävissään </w:t>
            </w:r>
          </w:p>
          <w:p w:rsidR="00CA4557" w:rsidRPr="004A2A4F" w:rsidRDefault="00CA4557" w:rsidP="00CA4557">
            <w:pPr>
              <w:pStyle w:val="Luettelokappale"/>
              <w:numPr>
                <w:ilvl w:val="0"/>
                <w:numId w:val="3"/>
              </w:numPr>
              <w:spacing w:line="240" w:lineRule="auto"/>
              <w:rPr>
                <w:rFonts w:asciiTheme="minorHAnsi" w:eastAsia="Tahoma" w:hAnsiTheme="minorHAnsi" w:cstheme="minorHAnsi"/>
                <w:szCs w:val="20"/>
              </w:rPr>
            </w:pPr>
            <w:r w:rsidRPr="004A2A4F">
              <w:rPr>
                <w:rFonts w:asciiTheme="minorHAnsi" w:eastAsia="Tahoma" w:hAnsiTheme="minorHAnsi" w:cstheme="minorHAnsi"/>
                <w:szCs w:val="20"/>
              </w:rPr>
              <w:t xml:space="preserve">osaa luoda verkostoja kumppanuuksia </w:t>
            </w:r>
          </w:p>
          <w:p w:rsidR="00CA4557" w:rsidRPr="004A2A4F" w:rsidRDefault="00CA4557" w:rsidP="00CA4557">
            <w:pPr>
              <w:pStyle w:val="Luettelokappale"/>
              <w:numPr>
                <w:ilvl w:val="0"/>
                <w:numId w:val="3"/>
              </w:numPr>
              <w:spacing w:line="240" w:lineRule="auto"/>
              <w:rPr>
                <w:rFonts w:asciiTheme="minorHAnsi" w:eastAsia="Tahoma" w:hAnsiTheme="minorHAnsi" w:cstheme="minorHAnsi"/>
                <w:szCs w:val="20"/>
              </w:rPr>
            </w:pPr>
            <w:r w:rsidRPr="004A2A4F">
              <w:rPr>
                <w:rFonts w:asciiTheme="minorHAnsi" w:eastAsia="Tahoma" w:hAnsiTheme="minorHAnsi" w:cstheme="minorHAnsi"/>
                <w:szCs w:val="20"/>
              </w:rPr>
              <w:t xml:space="preserve">osaa johtaa ja uudistaa toimintaa monimutkaisissa ja ennakoimattomissa toimintaympäristöissä </w:t>
            </w:r>
          </w:p>
          <w:p w:rsidR="00CA4557" w:rsidRPr="004A2A4F" w:rsidRDefault="00CA4557" w:rsidP="00CA4557">
            <w:pPr>
              <w:pStyle w:val="Luettelokappale"/>
              <w:numPr>
                <w:ilvl w:val="0"/>
                <w:numId w:val="3"/>
              </w:numPr>
              <w:spacing w:line="240" w:lineRule="auto"/>
              <w:rPr>
                <w:rFonts w:asciiTheme="minorHAnsi" w:eastAsia="Tahoma" w:hAnsiTheme="minorHAnsi" w:cstheme="minorHAnsi"/>
                <w:szCs w:val="20"/>
              </w:rPr>
            </w:pPr>
            <w:r w:rsidRPr="004A2A4F">
              <w:rPr>
                <w:rFonts w:asciiTheme="minorHAnsi" w:eastAsia="Tahoma" w:hAnsiTheme="minorHAnsi" w:cstheme="minorHAnsi"/>
                <w:szCs w:val="20"/>
              </w:rPr>
              <w:t>kykenee toimimaan vaativissa asiantuntijatehtävissä, johtamistehtävissä tai yrittäjänä</w:t>
            </w:r>
          </w:p>
        </w:tc>
      </w:tr>
      <w:tr w:rsidR="00CA4557" w:rsidRPr="004A2A4F" w:rsidTr="00F5469A">
        <w:tc>
          <w:tcPr>
            <w:tcW w:w="2722" w:type="dxa"/>
          </w:tcPr>
          <w:p w:rsidR="00CA4557" w:rsidRPr="004A2A4F" w:rsidRDefault="00CA4557" w:rsidP="00AC2C38">
            <w:pPr>
              <w:spacing w:before="120" w:after="120"/>
              <w:rPr>
                <w:rFonts w:asciiTheme="minorHAnsi" w:hAnsiTheme="minorHAnsi" w:cstheme="minorHAnsi"/>
              </w:rPr>
            </w:pPr>
            <w:r w:rsidRPr="004A2A4F">
              <w:rPr>
                <w:rFonts w:asciiTheme="minorHAnsi" w:hAnsiTheme="minorHAnsi" w:cstheme="minorHAnsi"/>
                <w:b/>
              </w:rPr>
              <w:t>Innovaatio-osaaminen</w:t>
            </w:r>
            <w:r w:rsidRPr="004A2A4F">
              <w:rPr>
                <w:rFonts w:asciiTheme="minorHAnsi" w:hAnsiTheme="minorHAnsi" w:cstheme="minorHAnsi"/>
              </w:rPr>
              <w:br/>
            </w:r>
            <w:r w:rsidRPr="004A2A4F">
              <w:rPr>
                <w:rFonts w:asciiTheme="minorHAnsi" w:hAnsiTheme="minorHAnsi" w:cstheme="minorHAnsi"/>
                <w:i/>
              </w:rPr>
              <w:t xml:space="preserve">(Innovation </w:t>
            </w:r>
            <w:r w:rsidRPr="004A2A4F">
              <w:rPr>
                <w:rFonts w:asciiTheme="minorHAnsi" w:hAnsiTheme="minorHAnsi" w:cstheme="minorHAnsi"/>
                <w:i/>
              </w:rPr>
              <w:br/>
              <w:t>competence)</w:t>
            </w:r>
          </w:p>
        </w:tc>
        <w:tc>
          <w:tcPr>
            <w:tcW w:w="6521" w:type="dxa"/>
          </w:tcPr>
          <w:p w:rsidR="00CA4557" w:rsidRPr="004A2A4F" w:rsidRDefault="00CA4557" w:rsidP="00CA4557">
            <w:pPr>
              <w:pStyle w:val="Luettelokappale"/>
              <w:numPr>
                <w:ilvl w:val="0"/>
                <w:numId w:val="3"/>
              </w:numPr>
              <w:spacing w:line="240" w:lineRule="auto"/>
              <w:rPr>
                <w:rFonts w:asciiTheme="minorHAnsi" w:eastAsia="Tahoma" w:hAnsiTheme="minorHAnsi" w:cstheme="minorHAnsi"/>
                <w:szCs w:val="20"/>
              </w:rPr>
            </w:pPr>
            <w:r w:rsidRPr="004A2A4F">
              <w:rPr>
                <w:rFonts w:asciiTheme="minorHAnsi" w:eastAsia="Tahoma" w:hAnsiTheme="minorHAnsi" w:cstheme="minorHAnsi"/>
                <w:szCs w:val="20"/>
              </w:rPr>
              <w:t xml:space="preserve">osaa tuottaa uutta tietoa ja uudistaa toimintatapoja yhdistäen eri alojen osaamista </w:t>
            </w:r>
          </w:p>
          <w:p w:rsidR="00CA4557" w:rsidRPr="004A2A4F" w:rsidRDefault="00CA4557" w:rsidP="00CA4557">
            <w:pPr>
              <w:pStyle w:val="Luettelokappale"/>
              <w:numPr>
                <w:ilvl w:val="0"/>
                <w:numId w:val="3"/>
              </w:numPr>
              <w:spacing w:line="240" w:lineRule="auto"/>
              <w:rPr>
                <w:rFonts w:asciiTheme="minorHAnsi" w:eastAsia="Tahoma" w:hAnsiTheme="minorHAnsi" w:cstheme="minorHAnsi"/>
                <w:szCs w:val="20"/>
              </w:rPr>
            </w:pPr>
            <w:r w:rsidRPr="004A2A4F">
              <w:rPr>
                <w:rFonts w:asciiTheme="minorHAnsi" w:eastAsia="Tahoma" w:hAnsiTheme="minorHAnsi" w:cstheme="minorHAnsi"/>
                <w:szCs w:val="20"/>
              </w:rPr>
              <w:t>osaa johtaa projekteja</w:t>
            </w:r>
          </w:p>
          <w:p w:rsidR="00CA4557" w:rsidRPr="004A2A4F" w:rsidRDefault="00CA4557" w:rsidP="00CA4557">
            <w:pPr>
              <w:pStyle w:val="Luettelokappale"/>
              <w:numPr>
                <w:ilvl w:val="0"/>
                <w:numId w:val="3"/>
              </w:numPr>
              <w:spacing w:line="240" w:lineRule="auto"/>
              <w:rPr>
                <w:rFonts w:asciiTheme="minorHAnsi" w:eastAsia="Tahoma" w:hAnsiTheme="minorHAnsi" w:cstheme="minorHAnsi"/>
                <w:szCs w:val="20"/>
              </w:rPr>
            </w:pPr>
            <w:r w:rsidRPr="004A2A4F">
              <w:rPr>
                <w:rFonts w:asciiTheme="minorHAnsi" w:eastAsia="Tahoma" w:hAnsiTheme="minorHAnsi" w:cstheme="minorHAnsi"/>
                <w:szCs w:val="20"/>
              </w:rPr>
              <w:t xml:space="preserve">osaa johtaa tutkimus-, kehittämis- ja innovaatiohankkeita sekä hallitsee tutkimus- ja kehittämistoiminnan menetelmiä </w:t>
            </w:r>
          </w:p>
          <w:p w:rsidR="00CA4557" w:rsidRPr="004A2A4F" w:rsidRDefault="00CA4557" w:rsidP="00CA4557">
            <w:pPr>
              <w:pStyle w:val="Luettelokappale"/>
              <w:numPr>
                <w:ilvl w:val="0"/>
                <w:numId w:val="3"/>
              </w:numPr>
              <w:spacing w:line="240" w:lineRule="auto"/>
              <w:rPr>
                <w:rFonts w:asciiTheme="minorHAnsi" w:eastAsia="Tahoma" w:hAnsiTheme="minorHAnsi" w:cstheme="minorHAnsi"/>
                <w:szCs w:val="20"/>
              </w:rPr>
            </w:pPr>
            <w:r w:rsidRPr="004A2A4F">
              <w:rPr>
                <w:rFonts w:asciiTheme="minorHAnsi" w:eastAsia="Tahoma" w:hAnsiTheme="minorHAnsi" w:cstheme="minorHAnsi"/>
                <w:szCs w:val="20"/>
              </w:rPr>
              <w:t>osaa kehittää asiakaslähtöistä, kestävää ja taloudellisesti kannattavaa toimintaa</w:t>
            </w:r>
          </w:p>
        </w:tc>
      </w:tr>
      <w:tr w:rsidR="00CA4557" w:rsidRPr="004A2A4F" w:rsidTr="00F5469A">
        <w:tc>
          <w:tcPr>
            <w:tcW w:w="2722" w:type="dxa"/>
          </w:tcPr>
          <w:p w:rsidR="00CA4557" w:rsidRPr="004A2A4F" w:rsidRDefault="00F740CF" w:rsidP="00AC2C38">
            <w:pPr>
              <w:spacing w:before="120" w:after="120"/>
              <w:rPr>
                <w:rFonts w:asciiTheme="minorHAnsi" w:hAnsiTheme="minorHAnsi" w:cstheme="minorHAnsi"/>
              </w:rPr>
            </w:pPr>
            <w:r>
              <w:rPr>
                <w:rFonts w:asciiTheme="minorHAnsi" w:hAnsiTheme="minorHAnsi" w:cstheme="minorHAnsi"/>
                <w:b/>
              </w:rPr>
              <w:t>Kansainvälisyys</w:t>
            </w:r>
            <w:r w:rsidR="00CA4557" w:rsidRPr="004A2A4F">
              <w:rPr>
                <w:rFonts w:asciiTheme="minorHAnsi" w:hAnsiTheme="minorHAnsi" w:cstheme="minorHAnsi"/>
                <w:b/>
              </w:rPr>
              <w:t>osaaminen</w:t>
            </w:r>
            <w:r w:rsidR="00CA4557" w:rsidRPr="004A2A4F">
              <w:rPr>
                <w:rFonts w:asciiTheme="minorHAnsi" w:hAnsiTheme="minorHAnsi" w:cstheme="minorHAnsi"/>
              </w:rPr>
              <w:br/>
            </w:r>
            <w:r w:rsidR="00CA4557" w:rsidRPr="004A2A4F">
              <w:rPr>
                <w:rFonts w:asciiTheme="minorHAnsi" w:hAnsiTheme="minorHAnsi" w:cstheme="minorHAnsi"/>
                <w:i/>
              </w:rPr>
              <w:t xml:space="preserve">(International </w:t>
            </w:r>
            <w:r w:rsidR="00CA4557" w:rsidRPr="004A2A4F">
              <w:rPr>
                <w:rFonts w:asciiTheme="minorHAnsi" w:hAnsiTheme="minorHAnsi" w:cstheme="minorHAnsi"/>
                <w:i/>
              </w:rPr>
              <w:br/>
              <w:t>competence)</w:t>
            </w:r>
          </w:p>
        </w:tc>
        <w:tc>
          <w:tcPr>
            <w:tcW w:w="6521" w:type="dxa"/>
          </w:tcPr>
          <w:p w:rsidR="00CA4557" w:rsidRPr="004A2A4F" w:rsidRDefault="00CA4557" w:rsidP="00CA4557">
            <w:pPr>
              <w:pStyle w:val="Luettelokappale"/>
              <w:numPr>
                <w:ilvl w:val="0"/>
                <w:numId w:val="3"/>
              </w:numPr>
              <w:spacing w:line="240" w:lineRule="auto"/>
              <w:rPr>
                <w:rFonts w:asciiTheme="minorHAnsi" w:eastAsia="Tahoma" w:hAnsiTheme="minorHAnsi" w:cstheme="minorHAnsi"/>
                <w:szCs w:val="20"/>
              </w:rPr>
            </w:pPr>
            <w:r w:rsidRPr="004A2A4F">
              <w:rPr>
                <w:rFonts w:asciiTheme="minorHAnsi" w:eastAsia="Tahoma" w:hAnsiTheme="minorHAnsi" w:cstheme="minorHAnsi"/>
                <w:szCs w:val="20"/>
              </w:rPr>
              <w:t>kykenee kansainväliseen viestintään työtehtävissään ja toiminnan kehittämisessä</w:t>
            </w:r>
          </w:p>
          <w:p w:rsidR="00CA4557" w:rsidRPr="004A2A4F" w:rsidRDefault="00CA4557" w:rsidP="00CA4557">
            <w:pPr>
              <w:pStyle w:val="Luettelokappale"/>
              <w:numPr>
                <w:ilvl w:val="0"/>
                <w:numId w:val="3"/>
              </w:numPr>
              <w:spacing w:line="240" w:lineRule="auto"/>
              <w:rPr>
                <w:rFonts w:asciiTheme="minorHAnsi" w:eastAsia="Tahoma" w:hAnsiTheme="minorHAnsi" w:cstheme="minorHAnsi"/>
                <w:szCs w:val="20"/>
              </w:rPr>
            </w:pPr>
            <w:r w:rsidRPr="004A2A4F">
              <w:rPr>
                <w:rFonts w:asciiTheme="minorHAnsi" w:eastAsia="Tahoma" w:hAnsiTheme="minorHAnsi" w:cstheme="minorHAnsi"/>
                <w:szCs w:val="20"/>
              </w:rPr>
              <w:t xml:space="preserve">osaa toimia kansainvälisissä toimintaympäristöissä </w:t>
            </w:r>
          </w:p>
          <w:p w:rsidR="00CA4557" w:rsidRPr="004A2A4F" w:rsidRDefault="00CA4557" w:rsidP="00CA4557">
            <w:pPr>
              <w:pStyle w:val="Luettelokappale"/>
              <w:numPr>
                <w:ilvl w:val="0"/>
                <w:numId w:val="3"/>
              </w:numPr>
              <w:spacing w:line="240" w:lineRule="auto"/>
              <w:rPr>
                <w:rFonts w:asciiTheme="minorHAnsi" w:eastAsia="Tahoma" w:hAnsiTheme="minorHAnsi" w:cstheme="minorHAnsi"/>
                <w:szCs w:val="20"/>
              </w:rPr>
            </w:pPr>
            <w:r w:rsidRPr="004A2A4F">
              <w:rPr>
                <w:rFonts w:asciiTheme="minorHAnsi" w:eastAsia="Tahoma" w:hAnsiTheme="minorHAnsi" w:cstheme="minorHAnsi"/>
                <w:szCs w:val="20"/>
              </w:rPr>
              <w:t>osaa ennakoida kansainvälisyyskehityksen vaikutuksia ja mahdollisuuksia ammattialallaan</w:t>
            </w:r>
          </w:p>
        </w:tc>
      </w:tr>
    </w:tbl>
    <w:p w:rsidR="00CA4557" w:rsidRDefault="00CA4557"/>
    <w:p w:rsidR="00CA4557" w:rsidRDefault="008A5191">
      <w:r>
        <w:t>TYP</w:t>
      </w:r>
      <w:r w:rsidR="00CA4557">
        <w:t>A20SY_3</w:t>
      </w:r>
    </w:p>
    <w:tbl>
      <w:tblPr>
        <w:tblStyle w:val="TaulukkoRuudukko"/>
        <w:tblW w:w="9243"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770"/>
        <w:gridCol w:w="6473"/>
      </w:tblGrid>
      <w:tr w:rsidR="001567A2" w:rsidTr="00F5469A">
        <w:tc>
          <w:tcPr>
            <w:tcW w:w="2770" w:type="dxa"/>
            <w:shd w:val="clear" w:color="auto" w:fill="31A3B5"/>
          </w:tcPr>
          <w:p w:rsidR="001567A2" w:rsidRPr="00291EDD" w:rsidRDefault="001567A2" w:rsidP="008565D4">
            <w:pPr>
              <w:pStyle w:val="Kansilehdenotsikontarkenne"/>
              <w:rPr>
                <w:rFonts w:cstheme="majorHAnsi"/>
                <w:sz w:val="24"/>
              </w:rPr>
            </w:pPr>
            <w:r w:rsidRPr="00291EDD">
              <w:rPr>
                <w:rFonts w:cstheme="majorHAnsi"/>
                <w:sz w:val="24"/>
              </w:rPr>
              <w:t>Tutkinto-ohjelmakohtaiset</w:t>
            </w:r>
            <w:r w:rsidRPr="00291EDD">
              <w:rPr>
                <w:rFonts w:cstheme="majorHAnsi"/>
                <w:sz w:val="24"/>
              </w:rPr>
              <w:br/>
              <w:t>ammatilliset kompetenssit</w:t>
            </w:r>
          </w:p>
        </w:tc>
        <w:tc>
          <w:tcPr>
            <w:tcW w:w="6473" w:type="dxa"/>
            <w:shd w:val="clear" w:color="auto" w:fill="31A3B5"/>
          </w:tcPr>
          <w:p w:rsidR="001567A2" w:rsidRPr="00291EDD" w:rsidRDefault="001567A2" w:rsidP="008565D4">
            <w:pPr>
              <w:pStyle w:val="Kansilehdenotsikontarkenne"/>
              <w:rPr>
                <w:rFonts w:cstheme="majorHAnsi"/>
                <w:snapToGrid w:val="0"/>
                <w:sz w:val="24"/>
              </w:rPr>
            </w:pPr>
            <w:r w:rsidRPr="00291EDD">
              <w:rPr>
                <w:rFonts w:cstheme="majorHAnsi"/>
                <w:snapToGrid w:val="0"/>
                <w:sz w:val="24"/>
              </w:rPr>
              <w:t xml:space="preserve">Osaamisen kuvaus </w:t>
            </w:r>
            <w:r w:rsidRPr="00291EDD">
              <w:rPr>
                <w:rFonts w:cstheme="majorHAnsi"/>
                <w:snapToGrid w:val="0"/>
                <w:sz w:val="24"/>
              </w:rPr>
              <w:br/>
            </w:r>
          </w:p>
        </w:tc>
      </w:tr>
      <w:tr w:rsidR="001567A2" w:rsidRPr="00291EDD" w:rsidTr="00F5469A">
        <w:tc>
          <w:tcPr>
            <w:tcW w:w="2770" w:type="dxa"/>
          </w:tcPr>
          <w:p w:rsidR="001567A2" w:rsidRPr="00291EDD" w:rsidRDefault="00243775" w:rsidP="008565D4">
            <w:pPr>
              <w:spacing w:before="120" w:after="120"/>
              <w:rPr>
                <w:rFonts w:asciiTheme="minorHAnsi" w:hAnsiTheme="minorHAnsi" w:cstheme="minorHAnsi"/>
                <w:b/>
              </w:rPr>
            </w:pPr>
            <w:r>
              <w:rPr>
                <w:rFonts w:asciiTheme="minorHAnsi" w:hAnsiTheme="minorHAnsi" w:cstheme="minorHAnsi"/>
                <w:b/>
              </w:rPr>
              <w:t>Palliatiivisen hoitotyön kliininen osaaminen</w:t>
            </w:r>
          </w:p>
        </w:tc>
        <w:tc>
          <w:tcPr>
            <w:tcW w:w="6473" w:type="dxa"/>
          </w:tcPr>
          <w:p w:rsidR="001567A2" w:rsidRDefault="00FA5572" w:rsidP="00FA5572">
            <w:pPr>
              <w:pStyle w:val="Luettelokappale"/>
              <w:numPr>
                <w:ilvl w:val="0"/>
                <w:numId w:val="3"/>
              </w:numPr>
              <w:spacing w:line="240" w:lineRule="auto"/>
              <w:rPr>
                <w:rFonts w:asciiTheme="minorHAnsi" w:eastAsia="Tahoma" w:hAnsiTheme="minorHAnsi" w:cstheme="minorHAnsi"/>
                <w:szCs w:val="20"/>
              </w:rPr>
            </w:pPr>
            <w:r w:rsidRPr="00FA5572">
              <w:rPr>
                <w:rFonts w:asciiTheme="minorHAnsi" w:eastAsia="Tahoma" w:hAnsiTheme="minorHAnsi" w:cstheme="minorHAnsi"/>
                <w:szCs w:val="20"/>
              </w:rPr>
              <w:t>osaa tehdä potilaan terveydentilan kokonaisarvioinnin, määritellä oireenmukaisen hoidon tarpeen, arvioida oireiden vaikeusasteen ja osaa kliinisen hoidon ja terveyden edistämisen menetelmät</w:t>
            </w:r>
          </w:p>
          <w:p w:rsidR="00FA5572" w:rsidRPr="00FA5572" w:rsidRDefault="00C47D38" w:rsidP="00FA5572">
            <w:pPr>
              <w:pStyle w:val="Luettelokappale"/>
              <w:numPr>
                <w:ilvl w:val="0"/>
                <w:numId w:val="3"/>
              </w:numPr>
              <w:spacing w:line="240" w:lineRule="auto"/>
              <w:rPr>
                <w:rFonts w:asciiTheme="minorHAnsi" w:eastAsia="Tahoma" w:hAnsiTheme="minorHAnsi" w:cstheme="minorHAnsi"/>
                <w:szCs w:val="20"/>
              </w:rPr>
            </w:pPr>
            <w:r>
              <w:rPr>
                <w:rFonts w:asciiTheme="minorHAnsi" w:eastAsia="Tahoma" w:hAnsiTheme="minorHAnsi" w:cstheme="minorHAnsi"/>
                <w:szCs w:val="20"/>
              </w:rPr>
              <w:t>osaa suunnitella, toteuttaa ja arvioida potilaan ja hänen läheistensä yksilöllisiin tarpeisiin ja tilanteeseen perustuvaa erityistason palliatiivista ja saattohoitoa</w:t>
            </w:r>
          </w:p>
        </w:tc>
      </w:tr>
      <w:tr w:rsidR="001567A2" w:rsidRPr="00291EDD" w:rsidTr="00F5469A">
        <w:tc>
          <w:tcPr>
            <w:tcW w:w="2770" w:type="dxa"/>
          </w:tcPr>
          <w:p w:rsidR="001567A2" w:rsidRPr="00291EDD" w:rsidRDefault="00243775" w:rsidP="008565D4">
            <w:pPr>
              <w:spacing w:before="120" w:after="120"/>
              <w:rPr>
                <w:rFonts w:asciiTheme="minorHAnsi" w:hAnsiTheme="minorHAnsi" w:cstheme="minorHAnsi"/>
                <w:b/>
              </w:rPr>
            </w:pPr>
            <w:r>
              <w:rPr>
                <w:rFonts w:asciiTheme="minorHAnsi" w:hAnsiTheme="minorHAnsi" w:cstheme="minorHAnsi"/>
                <w:b/>
              </w:rPr>
              <w:t>Moniammatillinen koordinointi- ja yhteistyöosaaminen</w:t>
            </w:r>
          </w:p>
        </w:tc>
        <w:tc>
          <w:tcPr>
            <w:tcW w:w="6473" w:type="dxa"/>
          </w:tcPr>
          <w:p w:rsidR="00C47D38" w:rsidRPr="00C47D38" w:rsidRDefault="00C47D38" w:rsidP="00C47D38">
            <w:pPr>
              <w:pStyle w:val="Luettelokappale"/>
              <w:numPr>
                <w:ilvl w:val="0"/>
                <w:numId w:val="3"/>
              </w:numPr>
              <w:spacing w:line="240" w:lineRule="auto"/>
              <w:rPr>
                <w:rFonts w:eastAsia="Tahoma" w:cstheme="minorHAnsi"/>
                <w:szCs w:val="20"/>
              </w:rPr>
            </w:pPr>
            <w:r w:rsidRPr="00C47D38">
              <w:rPr>
                <w:rFonts w:asciiTheme="minorHAnsi" w:eastAsia="Tahoma" w:hAnsiTheme="minorHAnsi" w:cstheme="minorHAnsi"/>
                <w:szCs w:val="20"/>
              </w:rPr>
              <w:t>osaa koordinoida ja kehittää palliatiivisen hoidon moniammatillista yhteistyötä</w:t>
            </w:r>
            <w:r w:rsidR="00762FAF">
              <w:rPr>
                <w:rFonts w:asciiTheme="minorHAnsi" w:eastAsia="Tahoma" w:hAnsiTheme="minorHAnsi" w:cstheme="minorHAnsi"/>
                <w:szCs w:val="20"/>
              </w:rPr>
              <w:t xml:space="preserve"> organisaatiotasolla</w:t>
            </w:r>
            <w:bookmarkStart w:id="0" w:name="_GoBack"/>
            <w:bookmarkEnd w:id="0"/>
            <w:r w:rsidR="00762FAF">
              <w:rPr>
                <w:rFonts w:asciiTheme="minorHAnsi" w:eastAsia="Tahoma" w:hAnsiTheme="minorHAnsi" w:cstheme="minorHAnsi"/>
                <w:szCs w:val="20"/>
              </w:rPr>
              <w:t>, alueellisesti</w:t>
            </w:r>
            <w:r>
              <w:rPr>
                <w:rFonts w:asciiTheme="minorHAnsi" w:eastAsia="Tahoma" w:hAnsiTheme="minorHAnsi" w:cstheme="minorHAnsi"/>
                <w:szCs w:val="20"/>
              </w:rPr>
              <w:t xml:space="preserve"> ja kansallisesti</w:t>
            </w:r>
          </w:p>
          <w:p w:rsidR="00C47D38" w:rsidRPr="00EE1D69" w:rsidRDefault="00C47D38" w:rsidP="00EE1D69">
            <w:pPr>
              <w:pStyle w:val="Luettelokappale"/>
              <w:numPr>
                <w:ilvl w:val="0"/>
                <w:numId w:val="3"/>
              </w:numPr>
              <w:spacing w:line="240" w:lineRule="auto"/>
              <w:rPr>
                <w:rFonts w:eastAsia="Tahoma" w:cstheme="minorHAnsi"/>
                <w:szCs w:val="20"/>
              </w:rPr>
            </w:pPr>
            <w:r>
              <w:rPr>
                <w:rFonts w:asciiTheme="minorHAnsi" w:eastAsia="Tahoma" w:hAnsiTheme="minorHAnsi" w:cstheme="minorHAnsi"/>
                <w:szCs w:val="20"/>
              </w:rPr>
              <w:t>o</w:t>
            </w:r>
            <w:r w:rsidR="00EE1D69">
              <w:rPr>
                <w:rFonts w:asciiTheme="minorHAnsi" w:eastAsia="Tahoma" w:hAnsiTheme="minorHAnsi" w:cstheme="minorHAnsi"/>
                <w:szCs w:val="20"/>
              </w:rPr>
              <w:t>saa toimia palliatiivisen hoitotyön erityisasiantuntijana varmistaen potilaan ja hänen läheistensä edun</w:t>
            </w:r>
          </w:p>
          <w:p w:rsidR="00EE1D69" w:rsidRPr="00EF711F" w:rsidRDefault="00EE1D69" w:rsidP="00EE1D69">
            <w:pPr>
              <w:pStyle w:val="Luettelokappale"/>
              <w:numPr>
                <w:ilvl w:val="0"/>
                <w:numId w:val="3"/>
              </w:numPr>
              <w:spacing w:line="240" w:lineRule="auto"/>
              <w:rPr>
                <w:rFonts w:eastAsia="Tahoma" w:cstheme="minorHAnsi"/>
                <w:szCs w:val="20"/>
              </w:rPr>
            </w:pPr>
            <w:r>
              <w:rPr>
                <w:rFonts w:asciiTheme="minorHAnsi" w:eastAsia="Tahoma" w:hAnsiTheme="minorHAnsi" w:cstheme="minorHAnsi"/>
                <w:szCs w:val="20"/>
              </w:rPr>
              <w:t>osaa edistää henkilöstön työhyvinvointia ja osaamisen kehittymistä</w:t>
            </w:r>
          </w:p>
          <w:p w:rsidR="00EF711F" w:rsidRPr="00FA5572" w:rsidRDefault="00EF711F" w:rsidP="00EE1D69">
            <w:pPr>
              <w:pStyle w:val="Luettelokappale"/>
              <w:numPr>
                <w:ilvl w:val="0"/>
                <w:numId w:val="3"/>
              </w:numPr>
              <w:spacing w:line="240" w:lineRule="auto"/>
              <w:rPr>
                <w:rFonts w:eastAsia="Tahoma" w:cstheme="minorHAnsi"/>
                <w:szCs w:val="20"/>
              </w:rPr>
            </w:pPr>
            <w:r>
              <w:rPr>
                <w:rFonts w:asciiTheme="minorHAnsi" w:eastAsia="Tahoma" w:hAnsiTheme="minorHAnsi" w:cstheme="minorHAnsi"/>
                <w:szCs w:val="20"/>
              </w:rPr>
              <w:t>osaa kehittää palliatiivisen hoidon laatua</w:t>
            </w:r>
          </w:p>
        </w:tc>
      </w:tr>
    </w:tbl>
    <w:p w:rsidR="00CA4557" w:rsidRDefault="00CA4557"/>
    <w:sectPr w:rsidR="00CA45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93685"/>
    <w:multiLevelType w:val="hybridMultilevel"/>
    <w:tmpl w:val="7762870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0FD6D57"/>
    <w:multiLevelType w:val="hybridMultilevel"/>
    <w:tmpl w:val="3598523E"/>
    <w:lvl w:ilvl="0" w:tplc="6E309330">
      <w:start w:val="1"/>
      <w:numFmt w:val="bullet"/>
      <w:pStyle w:val="Luettelokappale"/>
      <w:lvlText w:val=""/>
      <w:lvlJc w:val="left"/>
      <w:pPr>
        <w:ind w:left="2735" w:hanging="360"/>
      </w:pPr>
      <w:rPr>
        <w:rFonts w:ascii="Wingdings" w:hAnsi="Wingdings" w:hint="default"/>
      </w:rPr>
    </w:lvl>
    <w:lvl w:ilvl="1" w:tplc="040B0003">
      <w:start w:val="1"/>
      <w:numFmt w:val="bullet"/>
      <w:lvlText w:val="o"/>
      <w:lvlJc w:val="left"/>
      <w:pPr>
        <w:ind w:left="4638" w:hanging="360"/>
      </w:pPr>
      <w:rPr>
        <w:rFonts w:ascii="Courier New" w:hAnsi="Courier New" w:cs="Courier New" w:hint="default"/>
      </w:rPr>
    </w:lvl>
    <w:lvl w:ilvl="2" w:tplc="040B0005" w:tentative="1">
      <w:start w:val="1"/>
      <w:numFmt w:val="bullet"/>
      <w:lvlText w:val=""/>
      <w:lvlJc w:val="left"/>
      <w:pPr>
        <w:ind w:left="5358" w:hanging="360"/>
      </w:pPr>
      <w:rPr>
        <w:rFonts w:ascii="Wingdings" w:hAnsi="Wingdings" w:hint="default"/>
      </w:rPr>
    </w:lvl>
    <w:lvl w:ilvl="3" w:tplc="040B0001" w:tentative="1">
      <w:start w:val="1"/>
      <w:numFmt w:val="bullet"/>
      <w:lvlText w:val=""/>
      <w:lvlJc w:val="left"/>
      <w:pPr>
        <w:ind w:left="6078" w:hanging="360"/>
      </w:pPr>
      <w:rPr>
        <w:rFonts w:ascii="Symbol" w:hAnsi="Symbol" w:hint="default"/>
      </w:rPr>
    </w:lvl>
    <w:lvl w:ilvl="4" w:tplc="040B0003" w:tentative="1">
      <w:start w:val="1"/>
      <w:numFmt w:val="bullet"/>
      <w:lvlText w:val="o"/>
      <w:lvlJc w:val="left"/>
      <w:pPr>
        <w:ind w:left="6798" w:hanging="360"/>
      </w:pPr>
      <w:rPr>
        <w:rFonts w:ascii="Courier New" w:hAnsi="Courier New" w:cs="Courier New" w:hint="default"/>
      </w:rPr>
    </w:lvl>
    <w:lvl w:ilvl="5" w:tplc="040B0005" w:tentative="1">
      <w:start w:val="1"/>
      <w:numFmt w:val="bullet"/>
      <w:lvlText w:val=""/>
      <w:lvlJc w:val="left"/>
      <w:pPr>
        <w:ind w:left="7518" w:hanging="360"/>
      </w:pPr>
      <w:rPr>
        <w:rFonts w:ascii="Wingdings" w:hAnsi="Wingdings" w:hint="default"/>
      </w:rPr>
    </w:lvl>
    <w:lvl w:ilvl="6" w:tplc="040B0001" w:tentative="1">
      <w:start w:val="1"/>
      <w:numFmt w:val="bullet"/>
      <w:lvlText w:val=""/>
      <w:lvlJc w:val="left"/>
      <w:pPr>
        <w:ind w:left="8238" w:hanging="360"/>
      </w:pPr>
      <w:rPr>
        <w:rFonts w:ascii="Symbol" w:hAnsi="Symbol" w:hint="default"/>
      </w:rPr>
    </w:lvl>
    <w:lvl w:ilvl="7" w:tplc="040B0003" w:tentative="1">
      <w:start w:val="1"/>
      <w:numFmt w:val="bullet"/>
      <w:lvlText w:val="o"/>
      <w:lvlJc w:val="left"/>
      <w:pPr>
        <w:ind w:left="8958" w:hanging="360"/>
      </w:pPr>
      <w:rPr>
        <w:rFonts w:ascii="Courier New" w:hAnsi="Courier New" w:cs="Courier New" w:hint="default"/>
      </w:rPr>
    </w:lvl>
    <w:lvl w:ilvl="8" w:tplc="040B0005" w:tentative="1">
      <w:start w:val="1"/>
      <w:numFmt w:val="bullet"/>
      <w:lvlText w:val=""/>
      <w:lvlJc w:val="left"/>
      <w:pPr>
        <w:ind w:left="9678" w:hanging="360"/>
      </w:pPr>
      <w:rPr>
        <w:rFonts w:ascii="Wingdings" w:hAnsi="Wingdings" w:hint="default"/>
      </w:rPr>
    </w:lvl>
  </w:abstractNum>
  <w:abstractNum w:abstractNumId="2" w15:restartNumberingAfterBreak="0">
    <w:nsid w:val="450D37F3"/>
    <w:multiLevelType w:val="hybridMultilevel"/>
    <w:tmpl w:val="311C5AD8"/>
    <w:lvl w:ilvl="0" w:tplc="F762F03E">
      <w:numFmt w:val="bullet"/>
      <w:lvlText w:val="-"/>
      <w:lvlJc w:val="left"/>
      <w:pPr>
        <w:ind w:left="720" w:hanging="360"/>
      </w:pPr>
      <w:rPr>
        <w:rFonts w:ascii="Calibri" w:eastAsia="Tahoma"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5D221860"/>
    <w:multiLevelType w:val="hybridMultilevel"/>
    <w:tmpl w:val="C308AD4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1"/>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557"/>
    <w:rsid w:val="001567A2"/>
    <w:rsid w:val="00243775"/>
    <w:rsid w:val="003B08F3"/>
    <w:rsid w:val="00762FAF"/>
    <w:rsid w:val="008A5191"/>
    <w:rsid w:val="00952850"/>
    <w:rsid w:val="00C47D38"/>
    <w:rsid w:val="00CA4557"/>
    <w:rsid w:val="00CA4E93"/>
    <w:rsid w:val="00D922A9"/>
    <w:rsid w:val="00EE1D69"/>
    <w:rsid w:val="00EF711F"/>
    <w:rsid w:val="00F5469A"/>
    <w:rsid w:val="00F740CF"/>
    <w:rsid w:val="00FA557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972ED"/>
  <w15:chartTrackingRefBased/>
  <w15:docId w15:val="{8A482540-08D4-4550-8120-D77665C39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CA4557"/>
    <w:pPr>
      <w:spacing w:after="0" w:line="240" w:lineRule="auto"/>
    </w:pPr>
    <w:rPr>
      <w:rFonts w:ascii="Tahoma" w:eastAsia="Tahoma" w:hAnsi="Tahoma" w:cs="Tahoma"/>
      <w:sz w:val="20"/>
      <w:szCs w:val="20"/>
      <w:lang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nsilehdenotsikontarkenne">
    <w:name w:val="Kansilehden otsikon tarkenne"/>
    <w:basedOn w:val="Eivli"/>
    <w:link w:val="KansilehdenotsikontarkenneChar"/>
    <w:qFormat/>
    <w:rsid w:val="00CA4557"/>
    <w:pPr>
      <w:spacing w:before="120" w:after="120" w:line="276" w:lineRule="auto"/>
    </w:pPr>
    <w:rPr>
      <w:rFonts w:asciiTheme="majorHAnsi" w:eastAsia="Calibri" w:hAnsiTheme="majorHAnsi" w:cs="Times New Roman"/>
      <w:b/>
      <w:color w:val="FFFFFF" w:themeColor="background1"/>
      <w:sz w:val="20"/>
      <w:szCs w:val="24"/>
    </w:rPr>
  </w:style>
  <w:style w:type="character" w:customStyle="1" w:styleId="KansilehdenotsikontarkenneChar">
    <w:name w:val="Kansilehden otsikon tarkenne Char"/>
    <w:basedOn w:val="Kappaleenoletusfontti"/>
    <w:link w:val="Kansilehdenotsikontarkenne"/>
    <w:rsid w:val="00CA4557"/>
    <w:rPr>
      <w:rFonts w:asciiTheme="majorHAnsi" w:eastAsia="Calibri" w:hAnsiTheme="majorHAnsi" w:cs="Times New Roman"/>
      <w:b/>
      <w:color w:val="FFFFFF" w:themeColor="background1"/>
      <w:sz w:val="20"/>
      <w:szCs w:val="24"/>
    </w:rPr>
  </w:style>
  <w:style w:type="paragraph" w:styleId="Luettelokappale">
    <w:name w:val="List Paragraph"/>
    <w:basedOn w:val="Normaali"/>
    <w:uiPriority w:val="34"/>
    <w:qFormat/>
    <w:rsid w:val="00CA4557"/>
    <w:pPr>
      <w:numPr>
        <w:numId w:val="1"/>
      </w:numPr>
      <w:spacing w:after="0" w:line="360" w:lineRule="auto"/>
      <w:contextualSpacing/>
    </w:pPr>
    <w:rPr>
      <w:rFonts w:ascii="Georgia" w:eastAsia="Times New Roman" w:hAnsi="Georgia" w:cs="Times New Roman"/>
      <w:szCs w:val="24"/>
    </w:rPr>
  </w:style>
  <w:style w:type="paragraph" w:styleId="Eivli">
    <w:name w:val="No Spacing"/>
    <w:uiPriority w:val="1"/>
    <w:qFormat/>
    <w:rsid w:val="00CA45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462</Words>
  <Characters>3743</Characters>
  <Application>Microsoft Office Word</Application>
  <DocSecurity>0</DocSecurity>
  <Lines>31</Lines>
  <Paragraphs>8</Paragraphs>
  <ScaleCrop>false</ScaleCrop>
  <HeadingPairs>
    <vt:vector size="2" baseType="variant">
      <vt:variant>
        <vt:lpstr>Otsikko</vt:lpstr>
      </vt:variant>
      <vt:variant>
        <vt:i4>1</vt:i4>
      </vt:variant>
    </vt:vector>
  </HeadingPairs>
  <TitlesOfParts>
    <vt:vector size="1" baseType="lpstr">
      <vt:lpstr/>
    </vt:vector>
  </TitlesOfParts>
  <Company>SAVONIA-AMK OY</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 Kopeli</dc:creator>
  <cp:keywords/>
  <dc:description/>
  <cp:lastModifiedBy>Marja Kopeli</cp:lastModifiedBy>
  <cp:revision>10</cp:revision>
  <dcterms:created xsi:type="dcterms:W3CDTF">2019-12-16T07:26:00Z</dcterms:created>
  <dcterms:modified xsi:type="dcterms:W3CDTF">2019-12-20T10:38:00Z</dcterms:modified>
</cp:coreProperties>
</file>