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E93" w:rsidRDefault="001530A3">
      <w:r>
        <w:t>TYDI20SY_4</w:t>
      </w:r>
    </w:p>
    <w:tbl>
      <w:tblPr>
        <w:tblStyle w:val="TaulukkoRuudukko1"/>
        <w:tblW w:w="0" w:type="auto"/>
        <w:tblInd w:w="-147" w:type="dxa"/>
        <w:tblLook w:val="04A0" w:firstRow="1" w:lastRow="0" w:firstColumn="1" w:lastColumn="0" w:noHBand="0" w:noVBand="1"/>
      </w:tblPr>
      <w:tblGrid>
        <w:gridCol w:w="2126"/>
        <w:gridCol w:w="854"/>
        <w:gridCol w:w="6183"/>
      </w:tblGrid>
      <w:tr w:rsidR="001530A3" w:rsidRPr="00D00350" w:rsidTr="001530A3">
        <w:tc>
          <w:tcPr>
            <w:tcW w:w="2126" w:type="dxa"/>
            <w:shd w:val="clear" w:color="auto" w:fill="31A3B5"/>
          </w:tcPr>
          <w:p w:rsidR="001530A3" w:rsidRPr="006318C9" w:rsidRDefault="001530A3" w:rsidP="00AC2C38">
            <w:pPr>
              <w:autoSpaceDE w:val="0"/>
              <w:autoSpaceDN w:val="0"/>
              <w:adjustRightInd w:val="0"/>
              <w:rPr>
                <w:rFonts w:ascii="Tahoma" w:hAnsi="Tahoma" w:cs="Tahoma"/>
                <w:b/>
                <w:bCs/>
                <w:color w:val="FFFFFF"/>
                <w:sz w:val="24"/>
                <w:szCs w:val="24"/>
                <w:lang w:val="en-GB"/>
              </w:rPr>
            </w:pPr>
            <w:r w:rsidRPr="006318C9">
              <w:rPr>
                <w:rFonts w:ascii="Tahoma" w:hAnsi="Tahoma" w:cs="Tahoma"/>
                <w:snapToGrid w:val="0"/>
                <w:sz w:val="24"/>
                <w:szCs w:val="24"/>
                <w:lang w:val="en-GB"/>
              </w:rPr>
              <w:br w:type="page"/>
            </w:r>
          </w:p>
        </w:tc>
        <w:tc>
          <w:tcPr>
            <w:tcW w:w="854" w:type="dxa"/>
            <w:shd w:val="clear" w:color="auto" w:fill="31A3B5"/>
          </w:tcPr>
          <w:p w:rsidR="001530A3" w:rsidRPr="006318C9" w:rsidRDefault="001530A3" w:rsidP="00AC2C38">
            <w:pPr>
              <w:autoSpaceDE w:val="0"/>
              <w:autoSpaceDN w:val="0"/>
              <w:adjustRightInd w:val="0"/>
              <w:jc w:val="both"/>
              <w:rPr>
                <w:rFonts w:ascii="Tahoma" w:hAnsi="Tahoma" w:cs="Tahoma"/>
                <w:b/>
                <w:bCs/>
                <w:color w:val="FFFFFF"/>
                <w:sz w:val="24"/>
                <w:szCs w:val="24"/>
                <w:lang w:val="en-GB"/>
              </w:rPr>
            </w:pPr>
            <w:r w:rsidRPr="006318C9">
              <w:rPr>
                <w:rFonts w:ascii="Tahoma" w:hAnsi="Tahoma" w:cs="Tahoma"/>
                <w:b/>
                <w:bCs/>
                <w:color w:val="FFFFFF"/>
                <w:sz w:val="24"/>
                <w:szCs w:val="24"/>
                <w:lang w:val="en-GB"/>
              </w:rPr>
              <w:t xml:space="preserve">Scale </w:t>
            </w:r>
          </w:p>
          <w:p w:rsidR="001530A3" w:rsidRPr="006318C9" w:rsidRDefault="001530A3" w:rsidP="00AC2C38">
            <w:pPr>
              <w:autoSpaceDE w:val="0"/>
              <w:autoSpaceDN w:val="0"/>
              <w:adjustRightInd w:val="0"/>
              <w:jc w:val="both"/>
              <w:rPr>
                <w:rFonts w:ascii="Tahoma" w:hAnsi="Tahoma" w:cs="Tahoma"/>
                <w:b/>
                <w:bCs/>
                <w:color w:val="FFFFFF"/>
                <w:sz w:val="24"/>
                <w:szCs w:val="24"/>
                <w:lang w:val="en-GB"/>
              </w:rPr>
            </w:pPr>
            <w:r w:rsidRPr="006318C9">
              <w:rPr>
                <w:rFonts w:ascii="Tahoma" w:hAnsi="Tahoma" w:cs="Tahoma"/>
                <w:b/>
                <w:bCs/>
                <w:color w:val="FFFFFF"/>
                <w:sz w:val="24"/>
                <w:szCs w:val="24"/>
                <w:lang w:val="en-GB"/>
              </w:rPr>
              <w:t>ECTS</w:t>
            </w:r>
          </w:p>
        </w:tc>
        <w:tc>
          <w:tcPr>
            <w:tcW w:w="6183" w:type="dxa"/>
            <w:shd w:val="clear" w:color="auto" w:fill="31A3B5"/>
          </w:tcPr>
          <w:p w:rsidR="001530A3" w:rsidRPr="006318C9" w:rsidRDefault="001530A3" w:rsidP="00AC2C38">
            <w:pPr>
              <w:autoSpaceDE w:val="0"/>
              <w:autoSpaceDN w:val="0"/>
              <w:adjustRightInd w:val="0"/>
              <w:jc w:val="both"/>
              <w:rPr>
                <w:rFonts w:ascii="Tahoma" w:hAnsi="Tahoma" w:cs="Tahoma"/>
                <w:b/>
                <w:bCs/>
                <w:color w:val="FFFFFF"/>
                <w:sz w:val="24"/>
                <w:szCs w:val="24"/>
                <w:lang w:val="en-GB"/>
              </w:rPr>
            </w:pPr>
            <w:r w:rsidRPr="006318C9">
              <w:rPr>
                <w:rFonts w:ascii="Tahoma" w:hAnsi="Tahoma" w:cs="Tahoma"/>
                <w:b/>
                <w:bCs/>
                <w:color w:val="FFFFFF"/>
                <w:sz w:val="24"/>
                <w:szCs w:val="24"/>
                <w:lang w:val="en-GB"/>
              </w:rPr>
              <w:t>Master programme study structure</w:t>
            </w:r>
          </w:p>
          <w:p w:rsidR="001530A3" w:rsidRPr="006318C9" w:rsidRDefault="001530A3" w:rsidP="00AC2C38">
            <w:pPr>
              <w:autoSpaceDE w:val="0"/>
              <w:autoSpaceDN w:val="0"/>
              <w:adjustRightInd w:val="0"/>
              <w:jc w:val="both"/>
              <w:rPr>
                <w:rFonts w:ascii="Tahoma" w:hAnsi="Tahoma" w:cs="Tahoma"/>
                <w:b/>
                <w:bCs/>
                <w:color w:val="FFFFFF"/>
                <w:sz w:val="24"/>
                <w:szCs w:val="24"/>
                <w:lang w:val="en-GB"/>
              </w:rPr>
            </w:pPr>
          </w:p>
        </w:tc>
      </w:tr>
      <w:tr w:rsidR="001530A3" w:rsidRPr="005901E1" w:rsidTr="001530A3">
        <w:tc>
          <w:tcPr>
            <w:tcW w:w="2126" w:type="dxa"/>
          </w:tcPr>
          <w:p w:rsidR="001530A3" w:rsidRPr="00B53961" w:rsidRDefault="001530A3" w:rsidP="00AC2C38">
            <w:pPr>
              <w:pStyle w:val="Default"/>
              <w:rPr>
                <w:b/>
                <w:bCs/>
                <w:sz w:val="20"/>
                <w:szCs w:val="20"/>
              </w:rPr>
            </w:pPr>
            <w:r w:rsidRPr="00B53961">
              <w:rPr>
                <w:b/>
                <w:bCs/>
                <w:sz w:val="20"/>
                <w:szCs w:val="20"/>
              </w:rPr>
              <w:t>Advanced Professional</w:t>
            </w:r>
          </w:p>
          <w:p w:rsidR="001530A3" w:rsidRPr="00B53961" w:rsidRDefault="001530A3" w:rsidP="00AC2C38">
            <w:pPr>
              <w:pStyle w:val="Default"/>
              <w:rPr>
                <w:b/>
                <w:bCs/>
                <w:sz w:val="20"/>
                <w:szCs w:val="20"/>
              </w:rPr>
            </w:pPr>
            <w:r w:rsidRPr="00B53961">
              <w:rPr>
                <w:b/>
                <w:bCs/>
                <w:sz w:val="20"/>
                <w:szCs w:val="20"/>
              </w:rPr>
              <w:t xml:space="preserve">studies </w:t>
            </w:r>
          </w:p>
        </w:tc>
        <w:tc>
          <w:tcPr>
            <w:tcW w:w="854" w:type="dxa"/>
          </w:tcPr>
          <w:p w:rsidR="001530A3" w:rsidRPr="00B53961" w:rsidRDefault="001530A3" w:rsidP="00AC2C38">
            <w:pPr>
              <w:pStyle w:val="Default"/>
              <w:rPr>
                <w:sz w:val="20"/>
                <w:szCs w:val="20"/>
              </w:rPr>
            </w:pPr>
            <w:r w:rsidRPr="00B53961">
              <w:rPr>
                <w:sz w:val="20"/>
                <w:szCs w:val="20"/>
              </w:rPr>
              <w:t>30</w:t>
            </w:r>
          </w:p>
        </w:tc>
        <w:tc>
          <w:tcPr>
            <w:tcW w:w="6183" w:type="dxa"/>
          </w:tcPr>
          <w:p w:rsidR="001530A3" w:rsidRPr="001530A3" w:rsidRDefault="001530A3" w:rsidP="00AC2C38">
            <w:pPr>
              <w:pStyle w:val="Default"/>
              <w:rPr>
                <w:sz w:val="20"/>
                <w:szCs w:val="20"/>
              </w:rPr>
            </w:pPr>
            <w:r w:rsidRPr="001530A3">
              <w:rPr>
                <w:rFonts w:eastAsia="Times New Roman"/>
                <w:bCs/>
                <w:color w:val="auto"/>
                <w:sz w:val="20"/>
                <w:szCs w:val="20"/>
              </w:rPr>
              <w:t>Studies provide the capabilities for the appropriate monitoring and analysis of research information and professional practice development which the holder of the degree can use in demanding expert and leadership tasks (e.g. analytical -, project management - as well as self-development skills). The studies support lifetime learning as well as the ability to continuously develop the students’ professional skills.</w:t>
            </w:r>
            <w:r w:rsidRPr="001530A3">
              <w:rPr>
                <w:sz w:val="20"/>
                <w:szCs w:val="20"/>
              </w:rPr>
              <w:t xml:space="preserve"> </w:t>
            </w:r>
          </w:p>
        </w:tc>
      </w:tr>
      <w:tr w:rsidR="001530A3" w:rsidRPr="005901E1" w:rsidTr="001530A3">
        <w:tc>
          <w:tcPr>
            <w:tcW w:w="2126" w:type="dxa"/>
          </w:tcPr>
          <w:p w:rsidR="001530A3" w:rsidRPr="00B53961" w:rsidRDefault="005901E1" w:rsidP="00AC2C38">
            <w:pPr>
              <w:pStyle w:val="Default"/>
              <w:rPr>
                <w:sz w:val="20"/>
                <w:szCs w:val="20"/>
              </w:rPr>
            </w:pPr>
            <w:r>
              <w:rPr>
                <w:b/>
                <w:bCs/>
                <w:sz w:val="20"/>
                <w:szCs w:val="20"/>
              </w:rPr>
              <w:t>J</w:t>
            </w:r>
            <w:bookmarkStart w:id="0" w:name="_GoBack"/>
            <w:bookmarkEnd w:id="0"/>
            <w:r w:rsidR="001530A3" w:rsidRPr="00B53961">
              <w:rPr>
                <w:b/>
                <w:bCs/>
                <w:sz w:val="20"/>
                <w:szCs w:val="20"/>
              </w:rPr>
              <w:t>oint  studies</w:t>
            </w:r>
          </w:p>
        </w:tc>
        <w:tc>
          <w:tcPr>
            <w:tcW w:w="854" w:type="dxa"/>
          </w:tcPr>
          <w:p w:rsidR="001530A3" w:rsidRPr="00B53961" w:rsidRDefault="001530A3" w:rsidP="00AC2C38">
            <w:pPr>
              <w:pStyle w:val="Default"/>
              <w:rPr>
                <w:sz w:val="20"/>
                <w:szCs w:val="20"/>
              </w:rPr>
            </w:pPr>
            <w:r w:rsidRPr="00B53961">
              <w:rPr>
                <w:sz w:val="20"/>
                <w:szCs w:val="20"/>
              </w:rPr>
              <w:t xml:space="preserve">30 </w:t>
            </w:r>
          </w:p>
        </w:tc>
        <w:tc>
          <w:tcPr>
            <w:tcW w:w="6183" w:type="dxa"/>
          </w:tcPr>
          <w:p w:rsidR="001530A3" w:rsidRPr="00B53961" w:rsidRDefault="001530A3" w:rsidP="001530A3">
            <w:pPr>
              <w:pStyle w:val="Default"/>
              <w:rPr>
                <w:sz w:val="20"/>
                <w:szCs w:val="20"/>
              </w:rPr>
            </w:pPr>
            <w:r w:rsidRPr="00B53961">
              <w:rPr>
                <w:sz w:val="20"/>
                <w:szCs w:val="20"/>
              </w:rPr>
              <w:t xml:space="preserve">Joint studies support the development of expertise and are directed according to the interests of the student. </w:t>
            </w:r>
            <w:r>
              <w:rPr>
                <w:sz w:val="20"/>
                <w:szCs w:val="20"/>
              </w:rPr>
              <w:t xml:space="preserve">Joint studies are </w:t>
            </w:r>
            <w:r w:rsidRPr="00B53961">
              <w:rPr>
                <w:sz w:val="20"/>
                <w:szCs w:val="20"/>
              </w:rPr>
              <w:t xml:space="preserve">created on </w:t>
            </w:r>
            <w:r>
              <w:rPr>
                <w:sz w:val="20"/>
                <w:szCs w:val="20"/>
              </w:rPr>
              <w:t>the basis of working life needs.</w:t>
            </w:r>
            <w:r w:rsidR="00067B42">
              <w:rPr>
                <w:sz w:val="20"/>
                <w:szCs w:val="20"/>
              </w:rPr>
              <w:t xml:space="preserve"> </w:t>
            </w:r>
            <w:r w:rsidR="00067B42" w:rsidRPr="00067B42">
              <w:rPr>
                <w:sz w:val="20"/>
                <w:szCs w:val="20"/>
              </w:rPr>
              <w:t>Studies acquired elsewhere must be of an undergraduate level (VII).</w:t>
            </w:r>
          </w:p>
        </w:tc>
      </w:tr>
      <w:tr w:rsidR="001530A3" w:rsidRPr="005901E1" w:rsidTr="001530A3">
        <w:trPr>
          <w:trHeight w:val="1978"/>
        </w:trPr>
        <w:tc>
          <w:tcPr>
            <w:tcW w:w="2126" w:type="dxa"/>
          </w:tcPr>
          <w:p w:rsidR="001530A3" w:rsidRPr="00B53961" w:rsidRDefault="001530A3" w:rsidP="00AC2C38">
            <w:pPr>
              <w:rPr>
                <w:rFonts w:ascii="Tahoma" w:hAnsi="Tahoma" w:cs="Tahoma"/>
                <w:b/>
                <w:lang w:val="en-GB"/>
              </w:rPr>
            </w:pPr>
            <w:r w:rsidRPr="00B53961">
              <w:rPr>
                <w:rFonts w:ascii="Tahoma" w:hAnsi="Tahoma" w:cs="Tahoma"/>
                <w:b/>
                <w:bCs/>
                <w:color w:val="000000"/>
                <w:sz w:val="20"/>
                <w:szCs w:val="20"/>
                <w:lang w:val="en-GB"/>
              </w:rPr>
              <w:t>Thesis</w:t>
            </w:r>
          </w:p>
          <w:p w:rsidR="001530A3" w:rsidRPr="00B53961" w:rsidRDefault="001530A3" w:rsidP="00AC2C38">
            <w:pPr>
              <w:spacing w:before="120" w:after="120"/>
              <w:rPr>
                <w:rFonts w:ascii="Tahoma" w:hAnsi="Tahoma" w:cs="Tahoma"/>
                <w:b/>
                <w:color w:val="FFC000" w:themeColor="accent4"/>
                <w:lang w:val="en-GB"/>
              </w:rPr>
            </w:pPr>
          </w:p>
        </w:tc>
        <w:tc>
          <w:tcPr>
            <w:tcW w:w="854" w:type="dxa"/>
          </w:tcPr>
          <w:p w:rsidR="001530A3" w:rsidRPr="00B53961" w:rsidRDefault="001530A3" w:rsidP="00AC2C38">
            <w:pPr>
              <w:pStyle w:val="Default"/>
              <w:rPr>
                <w:sz w:val="20"/>
                <w:szCs w:val="20"/>
              </w:rPr>
            </w:pPr>
            <w:r w:rsidRPr="00B53961">
              <w:rPr>
                <w:sz w:val="20"/>
                <w:szCs w:val="20"/>
              </w:rPr>
              <w:t xml:space="preserve">30 </w:t>
            </w:r>
          </w:p>
        </w:tc>
        <w:tc>
          <w:tcPr>
            <w:tcW w:w="6183" w:type="dxa"/>
          </w:tcPr>
          <w:p w:rsidR="001530A3" w:rsidRPr="00B53961" w:rsidRDefault="001530A3" w:rsidP="00AC2C38">
            <w:pPr>
              <w:pStyle w:val="Default"/>
              <w:rPr>
                <w:sz w:val="20"/>
                <w:szCs w:val="20"/>
              </w:rPr>
            </w:pPr>
            <w:r w:rsidRPr="00B53961">
              <w:rPr>
                <w:sz w:val="20"/>
                <w:szCs w:val="20"/>
              </w:rPr>
              <w:t>The thesis is a student´s work and learning process which is supported multidisciplinarily, directed and evaluated. Included with the student are the teacher (s), an expert /experts of work and business and other students. Studies include methodological studies.</w:t>
            </w:r>
          </w:p>
          <w:p w:rsidR="001530A3" w:rsidRPr="00B53961" w:rsidRDefault="001530A3" w:rsidP="00AC2C38">
            <w:pPr>
              <w:pStyle w:val="Default"/>
              <w:rPr>
                <w:sz w:val="20"/>
                <w:szCs w:val="20"/>
              </w:rPr>
            </w:pPr>
            <w:r w:rsidRPr="00B53961">
              <w:rPr>
                <w:sz w:val="20"/>
                <w:szCs w:val="20"/>
              </w:rPr>
              <w:t xml:space="preserve">When doing the thesis the student is responsible for </w:t>
            </w:r>
          </w:p>
          <w:p w:rsidR="001530A3" w:rsidRPr="00B53961" w:rsidRDefault="001530A3" w:rsidP="00AC2C38">
            <w:pPr>
              <w:pStyle w:val="Default"/>
              <w:rPr>
                <w:sz w:val="20"/>
                <w:szCs w:val="20"/>
              </w:rPr>
            </w:pPr>
            <w:r>
              <w:rPr>
                <w:sz w:val="20"/>
                <w:szCs w:val="20"/>
              </w:rPr>
              <w:t xml:space="preserve">• </w:t>
            </w:r>
            <w:r w:rsidRPr="00B53961">
              <w:rPr>
                <w:sz w:val="20"/>
                <w:szCs w:val="20"/>
              </w:rPr>
              <w:t>the idea of the th</w:t>
            </w:r>
            <w:r>
              <w:rPr>
                <w:sz w:val="20"/>
                <w:szCs w:val="20"/>
              </w:rPr>
              <w:t xml:space="preserve">esis, the application of it to </w:t>
            </w:r>
            <w:r w:rsidRPr="00B53961">
              <w:rPr>
                <w:sz w:val="20"/>
                <w:szCs w:val="20"/>
              </w:rPr>
              <w:t xml:space="preserve">work life and preparing of agreements (at the early stage of the studies) </w:t>
            </w:r>
          </w:p>
          <w:p w:rsidR="001530A3" w:rsidRPr="00B53961" w:rsidRDefault="001530A3" w:rsidP="00AC2C38">
            <w:pPr>
              <w:pStyle w:val="Default"/>
              <w:rPr>
                <w:sz w:val="20"/>
                <w:szCs w:val="20"/>
              </w:rPr>
            </w:pPr>
            <w:r>
              <w:rPr>
                <w:sz w:val="20"/>
                <w:szCs w:val="20"/>
              </w:rPr>
              <w:t xml:space="preserve">• </w:t>
            </w:r>
            <w:r w:rsidRPr="00B53961">
              <w:rPr>
                <w:sz w:val="20"/>
                <w:szCs w:val="20"/>
              </w:rPr>
              <w:t xml:space="preserve"> learning about </w:t>
            </w:r>
            <w:r>
              <w:rPr>
                <w:sz w:val="20"/>
                <w:szCs w:val="20"/>
              </w:rPr>
              <w:t xml:space="preserve">the task area of the thesis and </w:t>
            </w:r>
            <w:r w:rsidRPr="00B53961">
              <w:rPr>
                <w:sz w:val="20"/>
                <w:szCs w:val="20"/>
              </w:rPr>
              <w:t xml:space="preserve">task setting </w:t>
            </w:r>
          </w:p>
          <w:p w:rsidR="001530A3" w:rsidRPr="00B53961" w:rsidRDefault="001530A3" w:rsidP="00AC2C38">
            <w:pPr>
              <w:pStyle w:val="Default"/>
              <w:rPr>
                <w:sz w:val="20"/>
                <w:szCs w:val="20"/>
              </w:rPr>
            </w:pPr>
            <w:r>
              <w:rPr>
                <w:sz w:val="20"/>
                <w:szCs w:val="20"/>
              </w:rPr>
              <w:t xml:space="preserve">• </w:t>
            </w:r>
            <w:r w:rsidRPr="00B53961">
              <w:rPr>
                <w:sz w:val="20"/>
                <w:szCs w:val="20"/>
              </w:rPr>
              <w:t>participating as</w:t>
            </w:r>
            <w:r>
              <w:rPr>
                <w:sz w:val="20"/>
                <w:szCs w:val="20"/>
              </w:rPr>
              <w:t xml:space="preserve"> a peer reviewer in the thesis </w:t>
            </w:r>
            <w:r w:rsidRPr="00B53961">
              <w:rPr>
                <w:sz w:val="20"/>
                <w:szCs w:val="20"/>
              </w:rPr>
              <w:t xml:space="preserve">process of others </w:t>
            </w:r>
          </w:p>
          <w:p w:rsidR="001530A3" w:rsidRPr="00B53961" w:rsidRDefault="001530A3" w:rsidP="00AC2C38">
            <w:pPr>
              <w:pStyle w:val="Default"/>
              <w:rPr>
                <w:sz w:val="20"/>
                <w:szCs w:val="20"/>
              </w:rPr>
            </w:pPr>
            <w:r>
              <w:rPr>
                <w:sz w:val="20"/>
                <w:szCs w:val="20"/>
              </w:rPr>
              <w:t xml:space="preserve">• </w:t>
            </w:r>
            <w:r w:rsidRPr="00B53961">
              <w:rPr>
                <w:sz w:val="20"/>
                <w:szCs w:val="20"/>
              </w:rPr>
              <w:t xml:space="preserve">enforcing the completion of the set task </w:t>
            </w:r>
          </w:p>
          <w:p w:rsidR="001530A3" w:rsidRPr="00B53961" w:rsidRDefault="001530A3" w:rsidP="00AC2C38">
            <w:pPr>
              <w:pStyle w:val="Default"/>
              <w:rPr>
                <w:sz w:val="20"/>
                <w:szCs w:val="20"/>
              </w:rPr>
            </w:pPr>
            <w:r>
              <w:rPr>
                <w:sz w:val="20"/>
                <w:szCs w:val="20"/>
              </w:rPr>
              <w:t xml:space="preserve">• </w:t>
            </w:r>
            <w:r w:rsidRPr="00B53961">
              <w:rPr>
                <w:sz w:val="20"/>
                <w:szCs w:val="20"/>
              </w:rPr>
              <w:t>presentation</w:t>
            </w:r>
            <w:r>
              <w:rPr>
                <w:sz w:val="20"/>
                <w:szCs w:val="20"/>
              </w:rPr>
              <w:t xml:space="preserve"> of the thesis and compiling of </w:t>
            </w:r>
            <w:r w:rsidRPr="00B53961">
              <w:rPr>
                <w:sz w:val="20"/>
                <w:szCs w:val="20"/>
              </w:rPr>
              <w:t xml:space="preserve">information material </w:t>
            </w:r>
          </w:p>
          <w:p w:rsidR="001530A3" w:rsidRDefault="001530A3" w:rsidP="00AC2C38">
            <w:pPr>
              <w:pStyle w:val="Default"/>
              <w:rPr>
                <w:sz w:val="20"/>
                <w:szCs w:val="20"/>
              </w:rPr>
            </w:pPr>
          </w:p>
          <w:p w:rsidR="001530A3" w:rsidRPr="00B53961" w:rsidRDefault="001530A3" w:rsidP="00AC2C38">
            <w:pPr>
              <w:pStyle w:val="Default"/>
              <w:rPr>
                <w:sz w:val="20"/>
                <w:szCs w:val="20"/>
              </w:rPr>
            </w:pPr>
            <w:r w:rsidRPr="00B53961">
              <w:rPr>
                <w:sz w:val="20"/>
                <w:szCs w:val="20"/>
              </w:rPr>
              <w:t xml:space="preserve">The development task </w:t>
            </w:r>
            <w:r>
              <w:rPr>
                <w:sz w:val="20"/>
                <w:szCs w:val="20"/>
              </w:rPr>
              <w:t>or applied research offers new know</w:t>
            </w:r>
            <w:r w:rsidRPr="00B53961">
              <w:rPr>
                <w:sz w:val="20"/>
                <w:szCs w:val="20"/>
              </w:rPr>
              <w:t>how to work l</w:t>
            </w:r>
            <w:r>
              <w:rPr>
                <w:sz w:val="20"/>
                <w:szCs w:val="20"/>
              </w:rPr>
              <w:t xml:space="preserve">ife, new lines of development, </w:t>
            </w:r>
            <w:r w:rsidRPr="00B53961">
              <w:rPr>
                <w:sz w:val="20"/>
                <w:szCs w:val="20"/>
              </w:rPr>
              <w:t xml:space="preserve">based on </w:t>
            </w:r>
            <w:r>
              <w:rPr>
                <w:sz w:val="20"/>
                <w:szCs w:val="20"/>
              </w:rPr>
              <w:t xml:space="preserve">the needs of its surroundings, </w:t>
            </w:r>
            <w:r w:rsidRPr="00B53961">
              <w:rPr>
                <w:sz w:val="20"/>
                <w:szCs w:val="20"/>
              </w:rPr>
              <w:t>the presenting</w:t>
            </w:r>
            <w:r>
              <w:rPr>
                <w:sz w:val="20"/>
                <w:szCs w:val="20"/>
              </w:rPr>
              <w:t xml:space="preserve"> of expertise, networking and a flexible </w:t>
            </w:r>
            <w:r w:rsidRPr="00B53961">
              <w:rPr>
                <w:sz w:val="20"/>
                <w:szCs w:val="20"/>
              </w:rPr>
              <w:t>gateway to transfer in</w:t>
            </w:r>
            <w:r>
              <w:rPr>
                <w:sz w:val="20"/>
                <w:szCs w:val="20"/>
              </w:rPr>
              <w:t xml:space="preserve"> to the different tasks of the </w:t>
            </w:r>
            <w:r w:rsidRPr="00B53961">
              <w:rPr>
                <w:sz w:val="20"/>
                <w:szCs w:val="20"/>
              </w:rPr>
              <w:t xml:space="preserve">work place or to completely new tasks. </w:t>
            </w:r>
          </w:p>
          <w:p w:rsidR="001530A3" w:rsidRDefault="001530A3" w:rsidP="00AC2C38">
            <w:pPr>
              <w:pStyle w:val="Default"/>
              <w:rPr>
                <w:sz w:val="20"/>
                <w:szCs w:val="20"/>
              </w:rPr>
            </w:pPr>
            <w:r w:rsidRPr="00B53961">
              <w:rPr>
                <w:sz w:val="20"/>
                <w:szCs w:val="20"/>
              </w:rPr>
              <w:t>The thesis shows the skill of written communication.</w:t>
            </w:r>
          </w:p>
          <w:p w:rsidR="001530A3" w:rsidRPr="00B53961" w:rsidRDefault="001530A3" w:rsidP="00AC2C38">
            <w:pPr>
              <w:pStyle w:val="Default"/>
              <w:rPr>
                <w:color w:val="FFC000" w:themeColor="accent4"/>
              </w:rPr>
            </w:pPr>
            <w:r>
              <w:rPr>
                <w:sz w:val="20"/>
                <w:szCs w:val="20"/>
              </w:rPr>
              <w:t>The thesis includes Research Methods and Academic Writing course (5 ects).</w:t>
            </w:r>
          </w:p>
        </w:tc>
      </w:tr>
      <w:tr w:rsidR="001530A3" w:rsidRPr="00D00350" w:rsidTr="001530A3">
        <w:tc>
          <w:tcPr>
            <w:tcW w:w="2126" w:type="dxa"/>
          </w:tcPr>
          <w:p w:rsidR="001530A3" w:rsidRPr="00B53961" w:rsidRDefault="001530A3" w:rsidP="00AC2C38">
            <w:pPr>
              <w:rPr>
                <w:rFonts w:ascii="Tahoma" w:hAnsi="Tahoma" w:cs="Tahoma"/>
                <w:b/>
                <w:lang w:val="en-GB"/>
              </w:rPr>
            </w:pPr>
            <w:r w:rsidRPr="00B53961">
              <w:rPr>
                <w:rFonts w:ascii="Tahoma" w:hAnsi="Tahoma" w:cs="Tahoma"/>
                <w:b/>
                <w:lang w:val="en-GB"/>
              </w:rPr>
              <w:t>In total</w:t>
            </w:r>
          </w:p>
        </w:tc>
        <w:tc>
          <w:tcPr>
            <w:tcW w:w="854" w:type="dxa"/>
          </w:tcPr>
          <w:p w:rsidR="001530A3" w:rsidRPr="00B53961" w:rsidRDefault="001530A3" w:rsidP="00AC2C38">
            <w:pPr>
              <w:rPr>
                <w:rFonts w:ascii="Tahoma" w:hAnsi="Tahoma" w:cs="Tahoma"/>
                <w:lang w:val="en-GB"/>
              </w:rPr>
            </w:pPr>
            <w:r w:rsidRPr="00B53961">
              <w:rPr>
                <w:rFonts w:ascii="Tahoma" w:hAnsi="Tahoma" w:cs="Tahoma"/>
                <w:lang w:val="en-GB"/>
              </w:rPr>
              <w:t>90</w:t>
            </w:r>
          </w:p>
        </w:tc>
        <w:tc>
          <w:tcPr>
            <w:tcW w:w="6183" w:type="dxa"/>
          </w:tcPr>
          <w:p w:rsidR="001530A3" w:rsidRPr="00B53961" w:rsidRDefault="001530A3" w:rsidP="00AC2C38">
            <w:pPr>
              <w:rPr>
                <w:rFonts w:ascii="Tahoma" w:hAnsi="Tahoma" w:cs="Tahoma"/>
                <w:lang w:val="en-GB"/>
              </w:rPr>
            </w:pPr>
          </w:p>
        </w:tc>
      </w:tr>
    </w:tbl>
    <w:p w:rsidR="001530A3" w:rsidRDefault="001530A3"/>
    <w:sectPr w:rsidR="001530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0A3"/>
    <w:rsid w:val="00067B42"/>
    <w:rsid w:val="001530A3"/>
    <w:rsid w:val="005901E1"/>
    <w:rsid w:val="00CA4E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BB976"/>
  <w15:chartTrackingRefBased/>
  <w15:docId w15:val="{CD446D53-EE9D-4E78-B19F-D0BBDAC3F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ulukkoRuudukko1">
    <w:name w:val="Taulukko Ruudukko1"/>
    <w:basedOn w:val="Normaalitaulukko"/>
    <w:next w:val="TaulukkoRuudukko"/>
    <w:uiPriority w:val="59"/>
    <w:rsid w:val="001530A3"/>
    <w:pPr>
      <w:spacing w:after="0" w:line="240" w:lineRule="auto"/>
    </w:pPr>
    <w:rPr>
      <w:rFonts w:ascii="Calibri" w:eastAsia="Times New Roman" w:hAnsi="Calibri" w:cs="Times New Roman"/>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30A3"/>
    <w:pPr>
      <w:autoSpaceDE w:val="0"/>
      <w:autoSpaceDN w:val="0"/>
      <w:adjustRightInd w:val="0"/>
      <w:spacing w:after="0" w:line="240" w:lineRule="auto"/>
    </w:pPr>
    <w:rPr>
      <w:rFonts w:ascii="Tahoma" w:eastAsia="Tahoma" w:hAnsi="Tahoma" w:cs="Tahoma"/>
      <w:color w:val="000000"/>
      <w:sz w:val="24"/>
      <w:szCs w:val="24"/>
      <w:lang w:val="en-GB" w:eastAsia="fi-FI"/>
    </w:rPr>
  </w:style>
  <w:style w:type="table" w:styleId="TaulukkoRuudukko">
    <w:name w:val="Table Grid"/>
    <w:basedOn w:val="Normaalitaulukko"/>
    <w:uiPriority w:val="39"/>
    <w:rsid w:val="0015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209</Words>
  <Characters>1697</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Kopeli</dc:creator>
  <cp:keywords/>
  <dc:description/>
  <cp:lastModifiedBy>Marja Kopeli</cp:lastModifiedBy>
  <cp:revision>3</cp:revision>
  <dcterms:created xsi:type="dcterms:W3CDTF">2019-12-16T07:46:00Z</dcterms:created>
  <dcterms:modified xsi:type="dcterms:W3CDTF">2019-12-18T07:56:00Z</dcterms:modified>
</cp:coreProperties>
</file>