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F38" w:rsidRDefault="00C42B2D">
      <w:r>
        <w:t>Kuva TB</w:t>
      </w:r>
      <w:r w:rsidR="006107AF">
        <w:t>19</w:t>
      </w:r>
      <w:r w:rsidR="001E61FD">
        <w:t>SP_4</w:t>
      </w:r>
    </w:p>
    <w:p w:rsidR="00E20444" w:rsidRDefault="00E20444"/>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E20444" w:rsidTr="00C42B2D">
        <w:tc>
          <w:tcPr>
            <w:tcW w:w="2093" w:type="dxa"/>
            <w:shd w:val="clear" w:color="auto" w:fill="31A3B5"/>
          </w:tcPr>
          <w:p w:rsidR="00E20444" w:rsidRPr="00215FBB" w:rsidRDefault="00E20444" w:rsidP="00A14294">
            <w:pPr>
              <w:spacing w:before="240"/>
              <w:rPr>
                <w:rFonts w:ascii="Tahoma" w:hAnsi="Tahoma" w:cs="Tahoma"/>
                <w:b/>
                <w:color w:val="FFFFFF"/>
                <w:sz w:val="20"/>
                <w:szCs w:val="20"/>
              </w:rPr>
            </w:pPr>
          </w:p>
        </w:tc>
        <w:tc>
          <w:tcPr>
            <w:tcW w:w="1134" w:type="dxa"/>
            <w:shd w:val="clear" w:color="auto" w:fill="31A3B5"/>
          </w:tcPr>
          <w:p w:rsidR="00E20444" w:rsidRPr="00215FBB" w:rsidRDefault="00E20444" w:rsidP="00A14294">
            <w:pPr>
              <w:spacing w:before="240"/>
              <w:rPr>
                <w:rFonts w:ascii="Tahoma" w:hAnsi="Tahoma" w:cs="Tahoma"/>
                <w:b/>
                <w:color w:val="FFFFFF"/>
                <w:sz w:val="20"/>
                <w:szCs w:val="20"/>
              </w:rPr>
            </w:pPr>
            <w:r w:rsidRPr="00215FBB">
              <w:rPr>
                <w:rFonts w:ascii="Tahoma" w:hAnsi="Tahoma" w:cs="Tahoma"/>
                <w:b/>
                <w:color w:val="FFFFFF"/>
                <w:sz w:val="20"/>
                <w:szCs w:val="20"/>
              </w:rPr>
              <w:t xml:space="preserve">Laajuus </w:t>
            </w:r>
          </w:p>
        </w:tc>
        <w:tc>
          <w:tcPr>
            <w:tcW w:w="6551" w:type="dxa"/>
            <w:shd w:val="clear" w:color="auto" w:fill="31A3B5"/>
          </w:tcPr>
          <w:p w:rsidR="00E20444" w:rsidRPr="00215FBB" w:rsidRDefault="006A2EAB" w:rsidP="00C42B2D">
            <w:pPr>
              <w:spacing w:before="240"/>
              <w:rPr>
                <w:rFonts w:ascii="Tahoma" w:hAnsi="Tahoma" w:cs="Tahoma"/>
                <w:b/>
                <w:color w:val="FFFFFF"/>
                <w:sz w:val="20"/>
                <w:szCs w:val="20"/>
              </w:rPr>
            </w:pPr>
            <w:r w:rsidRPr="00215FBB">
              <w:rPr>
                <w:rFonts w:ascii="Tahoma" w:hAnsi="Tahoma" w:cs="Tahoma"/>
                <w:b/>
                <w:color w:val="FFFFFF"/>
                <w:sz w:val="20"/>
                <w:szCs w:val="20"/>
              </w:rPr>
              <w:t>Luonnehdinta opinnoista lyhyesti</w:t>
            </w:r>
          </w:p>
        </w:tc>
      </w:tr>
      <w:tr w:rsidR="00E20444" w:rsidTr="00C42B2D">
        <w:tc>
          <w:tcPr>
            <w:tcW w:w="2093" w:type="dxa"/>
          </w:tcPr>
          <w:p w:rsidR="00E20444" w:rsidRPr="00215FBB" w:rsidRDefault="00E20444" w:rsidP="00A14294">
            <w:pPr>
              <w:spacing w:before="240"/>
              <w:rPr>
                <w:rFonts w:ascii="Tahoma" w:hAnsi="Tahoma" w:cs="Tahoma"/>
                <w:b/>
                <w:sz w:val="20"/>
                <w:szCs w:val="20"/>
              </w:rPr>
            </w:pPr>
            <w:r w:rsidRPr="00215FBB">
              <w:rPr>
                <w:rFonts w:ascii="Tahoma" w:hAnsi="Tahoma" w:cs="Tahoma"/>
                <w:b/>
                <w:sz w:val="20"/>
                <w:szCs w:val="20"/>
              </w:rPr>
              <w:t xml:space="preserve">Perusopinnot  </w:t>
            </w:r>
            <w:r w:rsidRPr="00215FBB">
              <w:rPr>
                <w:rFonts w:ascii="Tahoma" w:hAnsi="Tahoma" w:cs="Tahoma"/>
                <w:b/>
                <w:sz w:val="20"/>
                <w:szCs w:val="20"/>
              </w:rPr>
              <w:tab/>
            </w:r>
          </w:p>
        </w:tc>
        <w:tc>
          <w:tcPr>
            <w:tcW w:w="1134" w:type="dxa"/>
          </w:tcPr>
          <w:p w:rsidR="00E20444" w:rsidRPr="00215FBB" w:rsidRDefault="002D7BD1" w:rsidP="00A14294">
            <w:pPr>
              <w:spacing w:before="240"/>
              <w:rPr>
                <w:rFonts w:ascii="Tahoma" w:hAnsi="Tahoma" w:cs="Tahoma"/>
                <w:sz w:val="20"/>
                <w:szCs w:val="20"/>
              </w:rPr>
            </w:pPr>
            <w:r>
              <w:rPr>
                <w:rFonts w:ascii="Tahoma" w:hAnsi="Tahoma" w:cs="Tahoma"/>
                <w:sz w:val="20"/>
                <w:szCs w:val="20"/>
              </w:rPr>
              <w:t xml:space="preserve">30 </w:t>
            </w:r>
            <w:r w:rsidR="008924C6" w:rsidRPr="00215FBB">
              <w:rPr>
                <w:rFonts w:ascii="Tahoma" w:hAnsi="Tahoma" w:cs="Tahoma"/>
                <w:sz w:val="20"/>
                <w:szCs w:val="20"/>
              </w:rPr>
              <w:t>op</w:t>
            </w:r>
          </w:p>
        </w:tc>
        <w:tc>
          <w:tcPr>
            <w:tcW w:w="6551" w:type="dxa"/>
          </w:tcPr>
          <w:p w:rsidR="008E2E00" w:rsidRPr="008E2E00" w:rsidRDefault="002D7BD1" w:rsidP="002D7BD1">
            <w:pPr>
              <w:spacing w:before="240"/>
              <w:rPr>
                <w:rFonts w:ascii="Tahoma" w:hAnsi="Tahoma" w:cs="Tahoma"/>
                <w:iCs/>
                <w:sz w:val="20"/>
                <w:szCs w:val="20"/>
              </w:rPr>
            </w:pPr>
            <w:r w:rsidRPr="002D7BD1">
              <w:rPr>
                <w:rFonts w:ascii="Tahoma" w:hAnsi="Tahoma" w:cs="Tahoma"/>
                <w:iCs/>
                <w:sz w:val="20"/>
                <w:szCs w:val="2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r>
              <w:rPr>
                <w:rFonts w:ascii="Tahoma" w:hAnsi="Tahoma" w:cs="Tahoma"/>
                <w:iCs/>
                <w:sz w:val="20"/>
                <w:szCs w:val="20"/>
              </w:rPr>
              <w:t>.</w:t>
            </w:r>
          </w:p>
        </w:tc>
      </w:tr>
      <w:tr w:rsidR="00C42B2D" w:rsidTr="00C42B2D">
        <w:tc>
          <w:tcPr>
            <w:tcW w:w="2093" w:type="dxa"/>
          </w:tcPr>
          <w:p w:rsidR="00C42B2D" w:rsidRPr="001617BE" w:rsidRDefault="00C42B2D" w:rsidP="00C42B2D">
            <w:pPr>
              <w:spacing w:before="120" w:after="120"/>
            </w:pPr>
            <w:r w:rsidRPr="00C42B2D">
              <w:rPr>
                <w:rFonts w:ascii="Tahoma" w:hAnsi="Tahoma" w:cs="Tahoma"/>
                <w:b/>
                <w:sz w:val="20"/>
                <w:szCs w:val="20"/>
              </w:rPr>
              <w:t>Ammattiopinnot, teoriaopinnot (sis. syventävät ammattiopinnot)</w:t>
            </w:r>
          </w:p>
        </w:tc>
        <w:tc>
          <w:tcPr>
            <w:tcW w:w="1134" w:type="dxa"/>
          </w:tcPr>
          <w:p w:rsidR="00C42B2D" w:rsidRPr="00C42B2D" w:rsidRDefault="00C42B2D" w:rsidP="00C42B2D">
            <w:pPr>
              <w:spacing w:before="120" w:after="120"/>
              <w:rPr>
                <w:rFonts w:ascii="Tahoma" w:hAnsi="Tahoma" w:cs="Tahoma"/>
                <w:sz w:val="20"/>
                <w:szCs w:val="20"/>
              </w:rPr>
            </w:pPr>
            <w:r w:rsidRPr="00C42B2D">
              <w:rPr>
                <w:rFonts w:ascii="Tahoma" w:hAnsi="Tahoma" w:cs="Tahoma"/>
                <w:sz w:val="20"/>
                <w:szCs w:val="20"/>
              </w:rPr>
              <w:t>155/80 op</w:t>
            </w:r>
          </w:p>
        </w:tc>
        <w:tc>
          <w:tcPr>
            <w:tcW w:w="6551" w:type="dxa"/>
          </w:tcPr>
          <w:p w:rsidR="00C42B2D" w:rsidRDefault="00C42B2D" w:rsidP="00C42B2D">
            <w:pPr>
              <w:spacing w:before="120" w:after="120"/>
              <w:rPr>
                <w:rFonts w:ascii="Tahoma" w:hAnsi="Tahoma" w:cs="Tahoma"/>
                <w:sz w:val="20"/>
                <w:szCs w:val="20"/>
              </w:rPr>
            </w:pPr>
            <w:r w:rsidRPr="00C42B2D">
              <w:rPr>
                <w:rFonts w:ascii="Tahoma" w:hAnsi="Tahoma" w:cs="Tahoma"/>
                <w:sz w:val="20"/>
                <w:szCs w:val="20"/>
              </w:rPr>
              <w:t>Ammattiopintojen aikana opiskelija perehtyy kliinisen laboratoriotyön ammatilliseen toimintaan ja teoreettisiin perusteisiin. Ammattiopinnot muodostuvat asiantuntijuudenkehittymi</w:t>
            </w:r>
            <w:r w:rsidR="008E2E00">
              <w:rPr>
                <w:rFonts w:ascii="Tahoma" w:hAnsi="Tahoma" w:cs="Tahoma"/>
                <w:sz w:val="20"/>
                <w:szCs w:val="20"/>
              </w:rPr>
              <w:t>stä tukevista opintojakso</w:t>
            </w:r>
            <w:r w:rsidRPr="00C42B2D">
              <w:rPr>
                <w:rFonts w:ascii="Tahoma" w:hAnsi="Tahoma" w:cs="Tahoma"/>
                <w:sz w:val="20"/>
                <w:szCs w:val="20"/>
              </w:rPr>
              <w:t>ista. Opiskelija hankkii kliinisen laboratoriotyön eri osa-alueilla käytettävien perustutkimusten suorittamiseen tarvittavan osaamisen sekä valmiudet ammatinharjoittamiseen. Opinnot sisältävät teoreettista opiskelua, laboratorioluokissa tapahtuvaa harjoittelua sekä harjoittelua kliinisissä laboratorioissa. Osa opiskelu</w:t>
            </w:r>
            <w:r w:rsidR="008E2E00">
              <w:rPr>
                <w:rFonts w:ascii="Tahoma" w:hAnsi="Tahoma" w:cs="Tahoma"/>
                <w:sz w:val="20"/>
                <w:szCs w:val="20"/>
              </w:rPr>
              <w:t>sta voi toteutua hankkeissa. O</w:t>
            </w:r>
            <w:r w:rsidRPr="00C42B2D">
              <w:rPr>
                <w:rFonts w:ascii="Tahoma" w:hAnsi="Tahoma" w:cs="Tahoma"/>
                <w:sz w:val="20"/>
                <w:szCs w:val="20"/>
              </w:rPr>
              <w:t>sa opinnoista toteutetaan englanninkielellä. Tutkintoon voidaan sisällyttää ulkomailla suoritettuja opintoja.</w:t>
            </w:r>
          </w:p>
          <w:p w:rsidR="008E2E00" w:rsidRPr="00C42B2D" w:rsidRDefault="008E2E00" w:rsidP="008E2E00">
            <w:pPr>
              <w:spacing w:before="120" w:after="120"/>
              <w:rPr>
                <w:rFonts w:ascii="Tahoma" w:hAnsi="Tahoma" w:cs="Tahoma"/>
                <w:sz w:val="20"/>
                <w:szCs w:val="20"/>
              </w:rPr>
            </w:pPr>
            <w:r w:rsidRPr="008E2E00">
              <w:rPr>
                <w:rFonts w:ascii="Tahoma" w:hAnsi="Tahoma" w:cs="Tahoma"/>
                <w:sz w:val="20"/>
                <w:szCs w:val="20"/>
              </w:rPr>
              <w:t>Opiskelija valitsee 20 op syventäviä ammattiopintoja opetussuunnitelman tarjonnasta.</w:t>
            </w:r>
          </w:p>
        </w:tc>
      </w:tr>
      <w:tr w:rsidR="00C42B2D" w:rsidTr="00C42B2D">
        <w:tc>
          <w:tcPr>
            <w:tcW w:w="2093" w:type="dxa"/>
          </w:tcPr>
          <w:p w:rsidR="00C42B2D" w:rsidRPr="00F73B85" w:rsidRDefault="00F73B85" w:rsidP="00C42B2D">
            <w:pPr>
              <w:spacing w:before="120" w:after="120" w:line="240" w:lineRule="auto"/>
              <w:rPr>
                <w:rFonts w:ascii="Verdana" w:eastAsia="Times New Roman" w:hAnsi="Verdana" w:cs="Times New Roman"/>
                <w:b/>
                <w:sz w:val="16"/>
                <w:szCs w:val="16"/>
              </w:rPr>
            </w:pPr>
            <w:r>
              <w:rPr>
                <w:rFonts w:ascii="Tahoma" w:hAnsi="Tahoma" w:cs="Tahoma"/>
                <w:b/>
                <w:sz w:val="20"/>
                <w:szCs w:val="20"/>
              </w:rPr>
              <w:t xml:space="preserve">Ammattiopinnot, </w:t>
            </w:r>
            <w:bookmarkStart w:id="0" w:name="_GoBack"/>
            <w:bookmarkEnd w:id="0"/>
            <w:r w:rsidR="00C42B2D" w:rsidRPr="00F73B85">
              <w:rPr>
                <w:rFonts w:ascii="Tahoma" w:hAnsi="Tahoma" w:cs="Tahoma"/>
                <w:b/>
                <w:sz w:val="20"/>
                <w:szCs w:val="20"/>
              </w:rPr>
              <w:t>harjoittelu</w:t>
            </w:r>
          </w:p>
        </w:tc>
        <w:tc>
          <w:tcPr>
            <w:tcW w:w="1134" w:type="dxa"/>
          </w:tcPr>
          <w:p w:rsidR="00C42B2D" w:rsidRPr="00B01ED2" w:rsidRDefault="00C42B2D" w:rsidP="00C42B2D">
            <w:pPr>
              <w:spacing w:before="120" w:after="120" w:line="240" w:lineRule="auto"/>
              <w:rPr>
                <w:rFonts w:ascii="Verdana" w:eastAsia="Times New Roman" w:hAnsi="Verdana" w:cs="Times New Roman"/>
                <w:sz w:val="16"/>
                <w:szCs w:val="16"/>
              </w:rPr>
            </w:pPr>
            <w:proofErr w:type="spellStart"/>
            <w:r w:rsidRPr="00C42B2D">
              <w:rPr>
                <w:rFonts w:ascii="Tahoma" w:hAnsi="Tahoma" w:cs="Tahoma"/>
                <w:sz w:val="20"/>
                <w:szCs w:val="20"/>
              </w:rPr>
              <w:t>Harjoit</w:t>
            </w:r>
            <w:r>
              <w:rPr>
                <w:rFonts w:ascii="Tahoma" w:hAnsi="Tahoma" w:cs="Tahoma"/>
                <w:sz w:val="20"/>
                <w:szCs w:val="20"/>
              </w:rPr>
              <w:t>-</w:t>
            </w:r>
            <w:r w:rsidRPr="00C42B2D">
              <w:rPr>
                <w:rFonts w:ascii="Tahoma" w:hAnsi="Tahoma" w:cs="Tahoma"/>
                <w:sz w:val="20"/>
                <w:szCs w:val="20"/>
              </w:rPr>
              <w:t>telu</w:t>
            </w:r>
            <w:proofErr w:type="spellEnd"/>
            <w:r w:rsidRPr="00C42B2D">
              <w:rPr>
                <w:rFonts w:ascii="Tahoma" w:hAnsi="Tahoma" w:cs="Tahoma"/>
                <w:sz w:val="20"/>
                <w:szCs w:val="20"/>
              </w:rPr>
              <w:t xml:space="preserve"> 155/75</w:t>
            </w:r>
            <w:r>
              <w:rPr>
                <w:rFonts w:ascii="Tahoma" w:hAnsi="Tahoma" w:cs="Tahoma"/>
                <w:sz w:val="20"/>
                <w:szCs w:val="20"/>
              </w:rPr>
              <w:t xml:space="preserve"> op</w:t>
            </w:r>
          </w:p>
        </w:tc>
        <w:tc>
          <w:tcPr>
            <w:tcW w:w="6551" w:type="dxa"/>
          </w:tcPr>
          <w:p w:rsidR="00C42B2D" w:rsidRPr="00C42B2D" w:rsidRDefault="00C42B2D" w:rsidP="00C42B2D">
            <w:pPr>
              <w:spacing w:before="120" w:after="120"/>
              <w:rPr>
                <w:rFonts w:ascii="Tahoma" w:hAnsi="Tahoma" w:cs="Tahoma"/>
                <w:sz w:val="20"/>
                <w:szCs w:val="20"/>
              </w:rPr>
            </w:pPr>
            <w:r w:rsidRPr="00C42B2D">
              <w:rPr>
                <w:rFonts w:ascii="Tahoma" w:hAnsi="Tahoma" w:cs="Tahoma"/>
                <w:sz w:val="20"/>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p w:rsidR="00C42B2D" w:rsidRPr="00C42B2D" w:rsidRDefault="00C42B2D" w:rsidP="00C42B2D">
            <w:pPr>
              <w:spacing w:before="120" w:after="120"/>
              <w:rPr>
                <w:rFonts w:ascii="Tahoma" w:hAnsi="Tahoma" w:cs="Tahoma"/>
                <w:sz w:val="20"/>
                <w:szCs w:val="20"/>
              </w:rPr>
            </w:pPr>
            <w:r w:rsidRPr="00C42B2D">
              <w:rPr>
                <w:rFonts w:ascii="Tahoma" w:hAnsi="Tahoma" w:cs="Tahoma"/>
                <w:sz w:val="20"/>
                <w:szCs w:val="20"/>
              </w:rPr>
              <w:t>Ohjatussa harjoittelussa opiskelija vastaa</w:t>
            </w:r>
          </w:p>
          <w:p w:rsidR="00C42B2D" w:rsidRPr="00C42B2D" w:rsidRDefault="00C42B2D" w:rsidP="00C42B2D">
            <w:pPr>
              <w:pStyle w:val="Luettelokappale"/>
              <w:numPr>
                <w:ilvl w:val="0"/>
                <w:numId w:val="6"/>
              </w:numPr>
              <w:spacing w:before="120" w:after="120"/>
              <w:rPr>
                <w:rFonts w:ascii="Tahoma" w:hAnsi="Tahoma" w:cs="Tahoma"/>
                <w:sz w:val="20"/>
                <w:szCs w:val="20"/>
              </w:rPr>
            </w:pPr>
            <w:r w:rsidRPr="00C42B2D">
              <w:rPr>
                <w:rFonts w:ascii="Tahoma" w:hAnsi="Tahoma" w:cs="Tahoma"/>
                <w:sz w:val="20"/>
                <w:szCs w:val="20"/>
              </w:rPr>
              <w:t>harjoittelupaikan hakemisesta ja harjoittelun tavoitteiden laatimisesta</w:t>
            </w:r>
          </w:p>
          <w:p w:rsidR="00C42B2D" w:rsidRPr="00C42B2D" w:rsidRDefault="00C42B2D" w:rsidP="00C42B2D">
            <w:pPr>
              <w:pStyle w:val="Luettelokappale"/>
              <w:numPr>
                <w:ilvl w:val="0"/>
                <w:numId w:val="6"/>
              </w:numPr>
              <w:spacing w:before="120" w:after="120"/>
              <w:rPr>
                <w:rFonts w:ascii="Tahoma" w:hAnsi="Tahoma" w:cs="Tahoma"/>
                <w:sz w:val="20"/>
                <w:szCs w:val="20"/>
              </w:rPr>
            </w:pPr>
            <w:r w:rsidRPr="00C42B2D">
              <w:rPr>
                <w:rFonts w:ascii="Tahoma" w:hAnsi="Tahoma" w:cs="Tahoma"/>
                <w:sz w:val="20"/>
                <w:szCs w:val="20"/>
              </w:rPr>
              <w:t>harjoittelusta harjoittelusuunnitelman mukaisesti</w:t>
            </w:r>
          </w:p>
          <w:p w:rsidR="00C42B2D" w:rsidRPr="00C42B2D" w:rsidRDefault="00C42B2D" w:rsidP="00C42B2D">
            <w:pPr>
              <w:pStyle w:val="Luettelokappale"/>
              <w:numPr>
                <w:ilvl w:val="0"/>
                <w:numId w:val="6"/>
              </w:numPr>
              <w:spacing w:before="120" w:after="120"/>
              <w:rPr>
                <w:rFonts w:ascii="Verdana" w:eastAsia="Times New Roman" w:hAnsi="Verdana" w:cs="Times New Roman"/>
                <w:iCs/>
                <w:sz w:val="16"/>
                <w:szCs w:val="16"/>
              </w:rPr>
            </w:pPr>
            <w:r w:rsidRPr="00C42B2D">
              <w:rPr>
                <w:rFonts w:ascii="Tahoma" w:hAnsi="Tahoma" w:cs="Tahoma"/>
                <w:sz w:val="20"/>
                <w:szCs w:val="20"/>
              </w:rPr>
              <w:t>harjoittelun raportoinnista</w:t>
            </w:r>
            <w:r>
              <w:rPr>
                <w:rFonts w:ascii="Tahoma" w:hAnsi="Tahoma" w:cs="Tahoma"/>
                <w:sz w:val="20"/>
                <w:szCs w:val="20"/>
              </w:rPr>
              <w:t>.</w:t>
            </w:r>
          </w:p>
        </w:tc>
      </w:tr>
      <w:tr w:rsidR="00F73B85" w:rsidTr="00A7403D">
        <w:tc>
          <w:tcPr>
            <w:tcW w:w="2093" w:type="dxa"/>
            <w:shd w:val="clear" w:color="auto" w:fill="FFFFFF"/>
          </w:tcPr>
          <w:p w:rsidR="00F73B85" w:rsidRPr="00F73B85" w:rsidRDefault="00F73B85" w:rsidP="00F73B85">
            <w:pPr>
              <w:spacing w:before="120" w:after="120" w:line="240" w:lineRule="auto"/>
              <w:rPr>
                <w:rFonts w:ascii="Tahoma" w:hAnsi="Tahoma" w:cs="Tahoma"/>
                <w:b/>
                <w:sz w:val="20"/>
                <w:szCs w:val="20"/>
              </w:rPr>
            </w:pPr>
            <w:r w:rsidRPr="00F73B85">
              <w:rPr>
                <w:rFonts w:ascii="Tahoma" w:hAnsi="Tahoma" w:cs="Tahoma"/>
                <w:b/>
                <w:sz w:val="20"/>
                <w:szCs w:val="20"/>
              </w:rPr>
              <w:t>Opinnäytetyö</w:t>
            </w:r>
          </w:p>
          <w:p w:rsidR="00F73B85" w:rsidRPr="00B01ED2" w:rsidRDefault="00F73B85" w:rsidP="00F73B85">
            <w:pPr>
              <w:spacing w:after="0" w:line="240" w:lineRule="auto"/>
              <w:rPr>
                <w:rFonts w:ascii="Verdana" w:eastAsia="Times New Roman" w:hAnsi="Verdana" w:cs="Times New Roman"/>
                <w:sz w:val="16"/>
                <w:szCs w:val="16"/>
              </w:rPr>
            </w:pPr>
          </w:p>
        </w:tc>
        <w:tc>
          <w:tcPr>
            <w:tcW w:w="1134" w:type="dxa"/>
            <w:shd w:val="clear" w:color="auto" w:fill="FFFFFF"/>
          </w:tcPr>
          <w:p w:rsidR="00F73B85" w:rsidRPr="00F73B85" w:rsidRDefault="00F73B85" w:rsidP="00F73B85">
            <w:pPr>
              <w:spacing w:before="120" w:after="120"/>
              <w:rPr>
                <w:rFonts w:ascii="Tahoma" w:hAnsi="Tahoma" w:cs="Tahoma"/>
                <w:sz w:val="20"/>
                <w:szCs w:val="20"/>
              </w:rPr>
            </w:pPr>
            <w:r w:rsidRPr="00F73B85">
              <w:rPr>
                <w:rFonts w:ascii="Tahoma" w:hAnsi="Tahoma" w:cs="Tahoma"/>
                <w:sz w:val="20"/>
                <w:szCs w:val="20"/>
              </w:rPr>
              <w:t>15 op</w:t>
            </w:r>
          </w:p>
        </w:tc>
        <w:tc>
          <w:tcPr>
            <w:tcW w:w="6551" w:type="dxa"/>
            <w:shd w:val="clear" w:color="auto" w:fill="FFFFFF"/>
          </w:tcPr>
          <w:p w:rsidR="00F73B85" w:rsidRPr="00F73B85" w:rsidRDefault="00F73B85" w:rsidP="00F73B85">
            <w:pPr>
              <w:spacing w:before="120" w:after="120"/>
              <w:rPr>
                <w:rFonts w:ascii="Tahoma" w:hAnsi="Tahoma" w:cs="Tahoma"/>
                <w:sz w:val="20"/>
                <w:szCs w:val="20"/>
              </w:rPr>
            </w:pPr>
            <w:r w:rsidRPr="00F73B85">
              <w:rPr>
                <w:rFonts w:ascii="Tahoma" w:hAnsi="Tahoma" w:cs="Tahoma"/>
                <w:sz w:val="20"/>
                <w:szCs w:val="20"/>
              </w:rPr>
              <w:t xml:space="preserve">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tai toiminnallisia. </w:t>
            </w:r>
          </w:p>
          <w:p w:rsidR="00F73B85" w:rsidRPr="00F73B85" w:rsidRDefault="00F73B85" w:rsidP="00F73B85">
            <w:pPr>
              <w:spacing w:before="120" w:after="120"/>
              <w:rPr>
                <w:rFonts w:ascii="Tahoma" w:hAnsi="Tahoma" w:cs="Tahoma"/>
                <w:sz w:val="20"/>
                <w:szCs w:val="20"/>
              </w:rPr>
            </w:pPr>
            <w:r w:rsidRPr="00F73B85">
              <w:rPr>
                <w:rFonts w:ascii="Tahoma" w:hAnsi="Tahoma" w:cs="Tahoma"/>
                <w:sz w:val="20"/>
                <w:szCs w:val="20"/>
              </w:rPr>
              <w:t>Opinnäytetyön tekemisessä opiskelija vastaa</w:t>
            </w:r>
          </w:p>
          <w:p w:rsidR="00F73B85" w:rsidRPr="00F73B85" w:rsidRDefault="00F73B85" w:rsidP="00F73B85">
            <w:pPr>
              <w:numPr>
                <w:ilvl w:val="0"/>
                <w:numId w:val="7"/>
              </w:numPr>
              <w:spacing w:before="120" w:after="120"/>
              <w:contextualSpacing/>
              <w:rPr>
                <w:rFonts w:ascii="Tahoma" w:hAnsi="Tahoma" w:cs="Tahoma"/>
                <w:sz w:val="20"/>
                <w:szCs w:val="20"/>
              </w:rPr>
            </w:pPr>
            <w:r w:rsidRPr="00F73B85">
              <w:rPr>
                <w:rFonts w:ascii="Tahoma" w:hAnsi="Tahoma" w:cs="Tahoma"/>
                <w:sz w:val="20"/>
                <w:szCs w:val="20"/>
              </w:rPr>
              <w:t>opinnäytetyöidean ja työelämäyhteyden hakemisesta</w:t>
            </w:r>
          </w:p>
          <w:p w:rsidR="00F73B85" w:rsidRPr="00F73B85" w:rsidRDefault="00F73B85" w:rsidP="00F73B85">
            <w:pPr>
              <w:numPr>
                <w:ilvl w:val="0"/>
                <w:numId w:val="7"/>
              </w:numPr>
              <w:spacing w:before="120" w:after="120"/>
              <w:contextualSpacing/>
              <w:rPr>
                <w:rFonts w:ascii="Tahoma" w:hAnsi="Tahoma" w:cs="Tahoma"/>
                <w:sz w:val="20"/>
                <w:szCs w:val="20"/>
              </w:rPr>
            </w:pPr>
            <w:r w:rsidRPr="00F73B85">
              <w:rPr>
                <w:rFonts w:ascii="Tahoma" w:hAnsi="Tahoma" w:cs="Tahoma"/>
                <w:sz w:val="20"/>
                <w:szCs w:val="20"/>
              </w:rPr>
              <w:t>opinnäytetyön tehtäväalueeseen perehtymisestä ja tehtävän asettamisesta</w:t>
            </w:r>
          </w:p>
          <w:p w:rsidR="00F73B85" w:rsidRPr="00F73B85" w:rsidRDefault="00F73B85" w:rsidP="00F73B85">
            <w:pPr>
              <w:numPr>
                <w:ilvl w:val="0"/>
                <w:numId w:val="7"/>
              </w:numPr>
              <w:spacing w:before="120" w:after="120"/>
              <w:contextualSpacing/>
              <w:rPr>
                <w:rFonts w:ascii="Tahoma" w:hAnsi="Tahoma" w:cs="Tahoma"/>
                <w:sz w:val="20"/>
                <w:szCs w:val="20"/>
              </w:rPr>
            </w:pPr>
            <w:r w:rsidRPr="00F73B85">
              <w:rPr>
                <w:rFonts w:ascii="Tahoma" w:hAnsi="Tahoma" w:cs="Tahoma"/>
                <w:sz w:val="20"/>
                <w:szCs w:val="20"/>
              </w:rPr>
              <w:t>asetetun tehtävän suorittamisesta ja raportoinnista</w:t>
            </w:r>
          </w:p>
          <w:p w:rsidR="00F73B85" w:rsidRPr="00F73B85" w:rsidRDefault="00F73B85" w:rsidP="00F73B85">
            <w:pPr>
              <w:numPr>
                <w:ilvl w:val="0"/>
                <w:numId w:val="7"/>
              </w:numPr>
              <w:spacing w:before="120" w:after="120"/>
              <w:contextualSpacing/>
              <w:rPr>
                <w:rFonts w:ascii="Tahoma" w:hAnsi="Tahoma" w:cs="Tahoma"/>
                <w:sz w:val="20"/>
                <w:szCs w:val="20"/>
              </w:rPr>
            </w:pPr>
            <w:r w:rsidRPr="00F73B85">
              <w:rPr>
                <w:rFonts w:ascii="Tahoma" w:hAnsi="Tahoma" w:cs="Tahoma"/>
                <w:sz w:val="20"/>
                <w:szCs w:val="20"/>
              </w:rPr>
              <w:t>opinnäytetyön viimeistelystä ja tiedotusmateriaalin laatimisesta.</w:t>
            </w:r>
          </w:p>
          <w:p w:rsidR="00F73B85" w:rsidRPr="00F73B85" w:rsidRDefault="00F73B85" w:rsidP="00F73B85">
            <w:pPr>
              <w:spacing w:before="120" w:after="120"/>
              <w:rPr>
                <w:rFonts w:ascii="Tahoma" w:hAnsi="Tahoma" w:cs="Tahoma"/>
                <w:sz w:val="20"/>
                <w:szCs w:val="20"/>
              </w:rPr>
            </w:pPr>
            <w:r w:rsidRPr="00F73B85">
              <w:rPr>
                <w:rFonts w:ascii="Tahoma" w:hAnsi="Tahoma" w:cs="Tahoma"/>
                <w:sz w:val="20"/>
                <w:szCs w:val="20"/>
              </w:rPr>
              <w:t xml:space="preserve">Opinnäytetyö tarjoaa hyvän mahdollisuuden verkostoitua omalla alalla ja joustavan siirtymisen työelämään. </w:t>
            </w:r>
          </w:p>
        </w:tc>
      </w:tr>
      <w:tr w:rsidR="00F73B85" w:rsidTr="00C42B2D">
        <w:tc>
          <w:tcPr>
            <w:tcW w:w="2093" w:type="dxa"/>
          </w:tcPr>
          <w:p w:rsidR="00F73B85" w:rsidRPr="00215FBB" w:rsidRDefault="00F73B85" w:rsidP="00F73B85">
            <w:pPr>
              <w:spacing w:before="120" w:after="120"/>
              <w:rPr>
                <w:rFonts w:ascii="Tahoma" w:hAnsi="Tahoma" w:cs="Tahoma"/>
                <w:b/>
                <w:sz w:val="20"/>
                <w:szCs w:val="20"/>
              </w:rPr>
            </w:pPr>
            <w:r w:rsidRPr="00215FBB">
              <w:rPr>
                <w:rFonts w:ascii="Tahoma" w:hAnsi="Tahoma" w:cs="Tahoma"/>
                <w:b/>
                <w:sz w:val="20"/>
                <w:szCs w:val="20"/>
              </w:rPr>
              <w:t>Valinnaiset opinnot</w:t>
            </w:r>
          </w:p>
          <w:p w:rsidR="00F73B85" w:rsidRPr="00215FBB" w:rsidRDefault="00F73B85" w:rsidP="00F73B85">
            <w:pPr>
              <w:spacing w:before="120" w:after="120"/>
              <w:rPr>
                <w:rFonts w:ascii="Tahoma" w:hAnsi="Tahoma" w:cs="Tahoma"/>
                <w:sz w:val="20"/>
                <w:szCs w:val="20"/>
              </w:rPr>
            </w:pPr>
          </w:p>
        </w:tc>
        <w:tc>
          <w:tcPr>
            <w:tcW w:w="1134" w:type="dxa"/>
          </w:tcPr>
          <w:p w:rsidR="00F73B85" w:rsidRPr="00215FBB" w:rsidRDefault="00F73B85" w:rsidP="00F73B85">
            <w:pPr>
              <w:spacing w:before="120" w:after="120"/>
              <w:rPr>
                <w:rFonts w:ascii="Tahoma" w:hAnsi="Tahoma" w:cs="Tahoma"/>
                <w:sz w:val="20"/>
                <w:szCs w:val="20"/>
              </w:rPr>
            </w:pPr>
            <w:r w:rsidRPr="00215FBB">
              <w:rPr>
                <w:rFonts w:ascii="Tahoma" w:hAnsi="Tahoma" w:cs="Tahoma"/>
                <w:sz w:val="20"/>
                <w:szCs w:val="20"/>
              </w:rPr>
              <w:t xml:space="preserve">  10 op</w:t>
            </w:r>
          </w:p>
        </w:tc>
        <w:tc>
          <w:tcPr>
            <w:tcW w:w="6551" w:type="dxa"/>
          </w:tcPr>
          <w:p w:rsidR="00F73B85" w:rsidRPr="00215FBB" w:rsidRDefault="00F73B85" w:rsidP="00F73B85">
            <w:pPr>
              <w:spacing w:before="120" w:after="120"/>
              <w:rPr>
                <w:rFonts w:ascii="Tahoma" w:hAnsi="Tahoma" w:cs="Tahoma"/>
                <w:sz w:val="20"/>
                <w:szCs w:val="20"/>
              </w:rPr>
            </w:pPr>
            <w:r w:rsidRPr="00215FBB">
              <w:rPr>
                <w:rFonts w:ascii="Tahoma" w:hAnsi="Tahoma" w:cs="Tahoma"/>
                <w:sz w:val="20"/>
                <w:szCs w:val="20"/>
              </w:rPr>
              <w:t xml:space="preserve">Valinnaiset opinnot </w:t>
            </w:r>
            <w:r>
              <w:rPr>
                <w:rFonts w:ascii="Tahoma" w:hAnsi="Tahoma" w:cs="Tahoma"/>
                <w:sz w:val="20"/>
                <w:szCs w:val="20"/>
              </w:rPr>
              <w:t xml:space="preserve">suuntaavat ja </w:t>
            </w:r>
            <w:r w:rsidRPr="00215FBB">
              <w:rPr>
                <w:rFonts w:ascii="Tahoma" w:hAnsi="Tahoma" w:cs="Tahoma"/>
                <w:sz w:val="20"/>
                <w:szCs w:val="20"/>
              </w:rPr>
              <w:t>tukevat asiantuntijuud</w:t>
            </w:r>
            <w:r>
              <w:rPr>
                <w:rFonts w:ascii="Tahoma" w:hAnsi="Tahoma" w:cs="Tahoma"/>
                <w:sz w:val="20"/>
                <w:szCs w:val="20"/>
              </w:rPr>
              <w:t xml:space="preserve">en kehittymistä </w:t>
            </w:r>
            <w:r w:rsidRPr="00215FBB">
              <w:rPr>
                <w:rFonts w:ascii="Tahoma" w:hAnsi="Tahoma" w:cs="Tahoma"/>
                <w:sz w:val="20"/>
                <w:szCs w:val="20"/>
              </w:rPr>
              <w:t xml:space="preserve">opiskelijan kiinnostuksen mukaan. </w:t>
            </w:r>
            <w:r>
              <w:rPr>
                <w:rFonts w:ascii="Tahoma" w:hAnsi="Tahoma" w:cs="Tahoma"/>
                <w:sz w:val="20"/>
                <w:szCs w:val="20"/>
              </w:rPr>
              <w:t xml:space="preserve">Opiskelija voi valita opintoja myös Savonian yhteisistä opintokokonaisuuksista ja muista tutkinto-ohjelmista tai sisällyttää tutkintoonsa muualla suoritettuja </w:t>
            </w:r>
            <w:proofErr w:type="spellStart"/>
            <w:r>
              <w:rPr>
                <w:rFonts w:ascii="Tahoma" w:hAnsi="Tahoma" w:cs="Tahoma"/>
                <w:sz w:val="20"/>
                <w:szCs w:val="20"/>
              </w:rPr>
              <w:t>samantasoisia</w:t>
            </w:r>
            <w:proofErr w:type="spellEnd"/>
            <w:r>
              <w:rPr>
                <w:rFonts w:ascii="Tahoma" w:hAnsi="Tahoma" w:cs="Tahoma"/>
                <w:sz w:val="20"/>
                <w:szCs w:val="20"/>
              </w:rPr>
              <w:t xml:space="preserve"> opintoja.</w:t>
            </w:r>
          </w:p>
        </w:tc>
      </w:tr>
      <w:tr w:rsidR="00F73B85" w:rsidTr="00C42B2D">
        <w:tc>
          <w:tcPr>
            <w:tcW w:w="2093" w:type="dxa"/>
          </w:tcPr>
          <w:p w:rsidR="00F73B85" w:rsidRPr="00215FBB" w:rsidRDefault="00F73B85" w:rsidP="00F73B85">
            <w:pPr>
              <w:spacing w:before="120" w:after="120"/>
              <w:rPr>
                <w:rFonts w:ascii="Tahoma" w:hAnsi="Tahoma" w:cs="Tahoma"/>
                <w:b/>
                <w:sz w:val="20"/>
                <w:szCs w:val="20"/>
              </w:rPr>
            </w:pPr>
            <w:r w:rsidRPr="00215FBB">
              <w:rPr>
                <w:rFonts w:ascii="Tahoma" w:hAnsi="Tahoma" w:cs="Tahoma"/>
                <w:b/>
                <w:sz w:val="20"/>
                <w:szCs w:val="20"/>
              </w:rPr>
              <w:t>Yhteensä</w:t>
            </w:r>
          </w:p>
        </w:tc>
        <w:tc>
          <w:tcPr>
            <w:tcW w:w="1134" w:type="dxa"/>
          </w:tcPr>
          <w:p w:rsidR="00F73B85" w:rsidRPr="00215FBB" w:rsidRDefault="00F73B85" w:rsidP="00F73B85">
            <w:pPr>
              <w:spacing w:before="120" w:after="120"/>
              <w:rPr>
                <w:rFonts w:ascii="Tahoma" w:hAnsi="Tahoma" w:cs="Tahoma"/>
                <w:sz w:val="20"/>
                <w:szCs w:val="20"/>
              </w:rPr>
            </w:pPr>
            <w:r w:rsidRPr="00215FBB">
              <w:rPr>
                <w:rFonts w:ascii="Tahoma" w:hAnsi="Tahoma" w:cs="Tahoma"/>
                <w:sz w:val="20"/>
                <w:szCs w:val="20"/>
              </w:rPr>
              <w:t>210 op</w:t>
            </w:r>
          </w:p>
        </w:tc>
        <w:tc>
          <w:tcPr>
            <w:tcW w:w="6551" w:type="dxa"/>
          </w:tcPr>
          <w:p w:rsidR="00F73B85" w:rsidRPr="00215FBB" w:rsidRDefault="00F73B85" w:rsidP="00F73B85">
            <w:pPr>
              <w:spacing w:before="120" w:after="120"/>
              <w:rPr>
                <w:rFonts w:ascii="Tahoma" w:hAnsi="Tahoma" w:cs="Tahoma"/>
                <w:sz w:val="20"/>
                <w:szCs w:val="20"/>
              </w:rPr>
            </w:pPr>
          </w:p>
        </w:tc>
      </w:tr>
    </w:tbl>
    <w:p w:rsidR="00E20444" w:rsidRDefault="00E20444"/>
    <w:sectPr w:rsidR="00E2044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166"/>
    <w:multiLevelType w:val="hybridMultilevel"/>
    <w:tmpl w:val="53D442F2"/>
    <w:lvl w:ilvl="0" w:tplc="2EB66FC4">
      <w:start w:val="1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D695914"/>
    <w:multiLevelType w:val="hybridMultilevel"/>
    <w:tmpl w:val="10B2FBB4"/>
    <w:lvl w:ilvl="0" w:tplc="040B0001">
      <w:start w:val="1"/>
      <w:numFmt w:val="bullet"/>
      <w:lvlText w:val=""/>
      <w:lvlJc w:val="left"/>
      <w:pPr>
        <w:ind w:left="360" w:hanging="360"/>
      </w:pPr>
      <w:rPr>
        <w:rFonts w:ascii="Symbol" w:hAnsi="Symbol" w:hint="default"/>
      </w:rPr>
    </w:lvl>
    <w:lvl w:ilvl="1" w:tplc="040B0003">
      <w:start w:val="1"/>
      <w:numFmt w:val="decimal"/>
      <w:lvlText w:val="%2."/>
      <w:lvlJc w:val="left"/>
      <w:pPr>
        <w:tabs>
          <w:tab w:val="num" w:pos="720"/>
        </w:tabs>
        <w:ind w:left="720" w:hanging="360"/>
      </w:pPr>
    </w:lvl>
    <w:lvl w:ilvl="2" w:tplc="040B0005">
      <w:start w:val="1"/>
      <w:numFmt w:val="decimal"/>
      <w:lvlText w:val="%3."/>
      <w:lvlJc w:val="left"/>
      <w:pPr>
        <w:tabs>
          <w:tab w:val="num" w:pos="1440"/>
        </w:tabs>
        <w:ind w:left="1440" w:hanging="360"/>
      </w:pPr>
    </w:lvl>
    <w:lvl w:ilvl="3" w:tplc="040B0001">
      <w:start w:val="1"/>
      <w:numFmt w:val="decimal"/>
      <w:lvlText w:val="%4."/>
      <w:lvlJc w:val="left"/>
      <w:pPr>
        <w:tabs>
          <w:tab w:val="num" w:pos="2160"/>
        </w:tabs>
        <w:ind w:left="2160" w:hanging="360"/>
      </w:pPr>
    </w:lvl>
    <w:lvl w:ilvl="4" w:tplc="040B0003">
      <w:start w:val="1"/>
      <w:numFmt w:val="decimal"/>
      <w:lvlText w:val="%5."/>
      <w:lvlJc w:val="left"/>
      <w:pPr>
        <w:tabs>
          <w:tab w:val="num" w:pos="2880"/>
        </w:tabs>
        <w:ind w:left="2880" w:hanging="360"/>
      </w:pPr>
    </w:lvl>
    <w:lvl w:ilvl="5" w:tplc="040B0005">
      <w:start w:val="1"/>
      <w:numFmt w:val="decimal"/>
      <w:lvlText w:val="%6."/>
      <w:lvlJc w:val="left"/>
      <w:pPr>
        <w:tabs>
          <w:tab w:val="num" w:pos="3600"/>
        </w:tabs>
        <w:ind w:left="3600" w:hanging="360"/>
      </w:pPr>
    </w:lvl>
    <w:lvl w:ilvl="6" w:tplc="040B0001">
      <w:start w:val="1"/>
      <w:numFmt w:val="decimal"/>
      <w:lvlText w:val="%7."/>
      <w:lvlJc w:val="left"/>
      <w:pPr>
        <w:tabs>
          <w:tab w:val="num" w:pos="4320"/>
        </w:tabs>
        <w:ind w:left="4320" w:hanging="360"/>
      </w:pPr>
    </w:lvl>
    <w:lvl w:ilvl="7" w:tplc="040B0003">
      <w:start w:val="1"/>
      <w:numFmt w:val="decimal"/>
      <w:lvlText w:val="%8."/>
      <w:lvlJc w:val="left"/>
      <w:pPr>
        <w:tabs>
          <w:tab w:val="num" w:pos="5040"/>
        </w:tabs>
        <w:ind w:left="5040" w:hanging="360"/>
      </w:pPr>
    </w:lvl>
    <w:lvl w:ilvl="8" w:tplc="040B0005">
      <w:start w:val="1"/>
      <w:numFmt w:val="decimal"/>
      <w:lvlText w:val="%9."/>
      <w:lvlJc w:val="left"/>
      <w:pPr>
        <w:tabs>
          <w:tab w:val="num" w:pos="5760"/>
        </w:tabs>
        <w:ind w:left="5760" w:hanging="360"/>
      </w:pPr>
    </w:lvl>
  </w:abstractNum>
  <w:abstractNum w:abstractNumId="2" w15:restartNumberingAfterBreak="0">
    <w:nsid w:val="4230646D"/>
    <w:multiLevelType w:val="hybridMultilevel"/>
    <w:tmpl w:val="F90CD3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26F6675"/>
    <w:multiLevelType w:val="hybridMultilevel"/>
    <w:tmpl w:val="1EA2AEC8"/>
    <w:lvl w:ilvl="0" w:tplc="D0609644">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6A90A31"/>
    <w:multiLevelType w:val="hybridMultilevel"/>
    <w:tmpl w:val="7D5811A2"/>
    <w:lvl w:ilvl="0" w:tplc="F01852C4">
      <w:start w:val="1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2786F8B"/>
    <w:multiLevelType w:val="hybridMultilevel"/>
    <w:tmpl w:val="0E9243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1A06518"/>
    <w:multiLevelType w:val="hybridMultilevel"/>
    <w:tmpl w:val="1D92D59C"/>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44"/>
    <w:rsid w:val="001520F2"/>
    <w:rsid w:val="001E61FD"/>
    <w:rsid w:val="00215FBB"/>
    <w:rsid w:val="002854E8"/>
    <w:rsid w:val="002D7BD1"/>
    <w:rsid w:val="003348E9"/>
    <w:rsid w:val="005268FB"/>
    <w:rsid w:val="006107AF"/>
    <w:rsid w:val="006A2EAB"/>
    <w:rsid w:val="006A67DB"/>
    <w:rsid w:val="008924C6"/>
    <w:rsid w:val="008E2E00"/>
    <w:rsid w:val="0090250B"/>
    <w:rsid w:val="00967051"/>
    <w:rsid w:val="009C524D"/>
    <w:rsid w:val="00AD38D6"/>
    <w:rsid w:val="00C17F7D"/>
    <w:rsid w:val="00C42B2D"/>
    <w:rsid w:val="00D94BAC"/>
    <w:rsid w:val="00DD399D"/>
    <w:rsid w:val="00E20444"/>
    <w:rsid w:val="00F73B85"/>
    <w:rsid w:val="00F85E42"/>
    <w:rsid w:val="00FF0F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FFF5"/>
  <w15:chartTrackingRefBased/>
  <w15:docId w15:val="{CCB64458-63B1-4140-8CCE-F4DC841E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34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2601</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Laitinen</dc:creator>
  <cp:keywords/>
  <dc:description/>
  <cp:lastModifiedBy>Marja Kopeli</cp:lastModifiedBy>
  <cp:revision>2</cp:revision>
  <dcterms:created xsi:type="dcterms:W3CDTF">2018-11-29T12:05:00Z</dcterms:created>
  <dcterms:modified xsi:type="dcterms:W3CDTF">2018-11-29T12:05:00Z</dcterms:modified>
</cp:coreProperties>
</file>