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82EE2" w14:textId="55AF13EB" w:rsidR="00B244BE" w:rsidRDefault="00CD050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03397" w:rsidRPr="009967A7" w14:paraId="35382EE6" w14:textId="77777777" w:rsidTr="00D03397">
        <w:tc>
          <w:tcPr>
            <w:tcW w:w="2093" w:type="dxa"/>
            <w:shd w:val="clear" w:color="auto" w:fill="31A3B5"/>
          </w:tcPr>
          <w:p w14:paraId="35382EE3"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Types of studies</w:t>
            </w:r>
          </w:p>
        </w:tc>
        <w:tc>
          <w:tcPr>
            <w:tcW w:w="1134" w:type="dxa"/>
            <w:shd w:val="clear" w:color="auto" w:fill="31A3B5"/>
          </w:tcPr>
          <w:p w14:paraId="35382EE4"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Extent</w:t>
            </w:r>
            <w:r w:rsidR="00D03397" w:rsidRPr="002A5261">
              <w:rPr>
                <w:rFonts w:ascii="Tahoma" w:hAnsi="Tahoma" w:cs="Tahoma"/>
                <w:b/>
                <w:color w:val="FFFFFF" w:themeColor="background1"/>
                <w:sz w:val="20"/>
                <w:szCs w:val="20"/>
                <w:lang w:val="en-GB"/>
              </w:rPr>
              <w:t xml:space="preserve"> </w:t>
            </w:r>
          </w:p>
        </w:tc>
        <w:tc>
          <w:tcPr>
            <w:tcW w:w="6551" w:type="dxa"/>
            <w:shd w:val="clear" w:color="auto" w:fill="31A3B5"/>
          </w:tcPr>
          <w:p w14:paraId="35382EE5"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Description of studies</w:t>
            </w:r>
          </w:p>
        </w:tc>
      </w:tr>
      <w:tr w:rsidR="00D03397" w:rsidRPr="00CD0507" w14:paraId="35382EEA" w14:textId="77777777" w:rsidTr="00647E37">
        <w:tc>
          <w:tcPr>
            <w:tcW w:w="2093" w:type="dxa"/>
          </w:tcPr>
          <w:p w14:paraId="35382EE7"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Basic studies</w:t>
            </w:r>
            <w:r w:rsidR="00D03397" w:rsidRPr="002A5261">
              <w:rPr>
                <w:rFonts w:ascii="Tahoma" w:hAnsi="Tahoma" w:cs="Tahoma"/>
                <w:b/>
                <w:sz w:val="20"/>
                <w:szCs w:val="20"/>
                <w:lang w:val="en-GB"/>
              </w:rPr>
              <w:t xml:space="preserve">  </w:t>
            </w:r>
            <w:r w:rsidR="00D03397" w:rsidRPr="002A5261">
              <w:rPr>
                <w:rFonts w:ascii="Tahoma" w:hAnsi="Tahoma" w:cs="Tahoma"/>
                <w:b/>
                <w:sz w:val="20"/>
                <w:szCs w:val="20"/>
                <w:lang w:val="en-GB"/>
              </w:rPr>
              <w:tab/>
            </w:r>
          </w:p>
        </w:tc>
        <w:tc>
          <w:tcPr>
            <w:tcW w:w="1134" w:type="dxa"/>
          </w:tcPr>
          <w:p w14:paraId="35382EE8" w14:textId="5D98A609" w:rsidR="00D03397" w:rsidRPr="002A5261" w:rsidRDefault="00C10143" w:rsidP="00D03397">
            <w:pPr>
              <w:spacing w:before="120" w:after="120"/>
              <w:rPr>
                <w:rFonts w:ascii="Tahoma" w:hAnsi="Tahoma" w:cs="Tahoma"/>
                <w:sz w:val="20"/>
                <w:szCs w:val="20"/>
                <w:lang w:val="en-GB"/>
              </w:rPr>
            </w:pPr>
            <w:r>
              <w:rPr>
                <w:rFonts w:ascii="Tahoma" w:hAnsi="Tahoma" w:cs="Tahoma"/>
                <w:sz w:val="20"/>
                <w:szCs w:val="20"/>
                <w:lang w:val="en-GB"/>
              </w:rPr>
              <w:t xml:space="preserve">30 </w:t>
            </w:r>
            <w:proofErr w:type="spellStart"/>
            <w:r>
              <w:rPr>
                <w:rFonts w:ascii="Tahoma" w:hAnsi="Tahoma" w:cs="Tahoma"/>
                <w:sz w:val="20"/>
                <w:szCs w:val="20"/>
                <w:lang w:val="en-GB"/>
              </w:rPr>
              <w:t>ects</w:t>
            </w:r>
            <w:proofErr w:type="spellEnd"/>
          </w:p>
        </w:tc>
        <w:tc>
          <w:tcPr>
            <w:tcW w:w="6551" w:type="dxa"/>
          </w:tcPr>
          <w:p w14:paraId="35382EE9" w14:textId="35EE4D81" w:rsidR="00C10143" w:rsidRPr="002A5261" w:rsidRDefault="00C10143" w:rsidP="00D03397">
            <w:pPr>
              <w:autoSpaceDE w:val="0"/>
              <w:autoSpaceDN w:val="0"/>
              <w:spacing w:before="120" w:after="120" w:line="240" w:lineRule="auto"/>
              <w:rPr>
                <w:rFonts w:ascii="Tahoma" w:hAnsi="Tahoma" w:cs="Tahoma"/>
                <w:iCs/>
                <w:sz w:val="20"/>
                <w:szCs w:val="20"/>
                <w:lang w:val="en-GB"/>
              </w:rPr>
            </w:pPr>
            <w:r w:rsidRPr="00C10143">
              <w:rPr>
                <w:rFonts w:ascii="Tahoma" w:hAnsi="Tahoma" w:cs="Tahoma"/>
                <w:iCs/>
                <w:sz w:val="20"/>
                <w:szCs w:val="20"/>
                <w:lang w:val="en-GB"/>
              </w:rPr>
              <w:t>Basic studies consist of introduction to UAS studies, learning objectives and content of education. Basic studies form a solid foundation for professional growth, responsible working, lifelong learning and the development of language and communication skills.</w:t>
            </w:r>
          </w:p>
        </w:tc>
      </w:tr>
      <w:tr w:rsidR="00D03397" w:rsidRPr="00CD0507" w14:paraId="35382EEE" w14:textId="77777777" w:rsidTr="00647E37">
        <w:tc>
          <w:tcPr>
            <w:tcW w:w="2093" w:type="dxa"/>
          </w:tcPr>
          <w:p w14:paraId="35382EEB"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Professional studies</w:t>
            </w:r>
          </w:p>
        </w:tc>
        <w:tc>
          <w:tcPr>
            <w:tcW w:w="1134" w:type="dxa"/>
          </w:tcPr>
          <w:p w14:paraId="35382EEC" w14:textId="0ECD02AF" w:rsidR="00D03397" w:rsidRPr="002A5261" w:rsidRDefault="00C10143" w:rsidP="00D03397">
            <w:pPr>
              <w:spacing w:before="120" w:after="120"/>
              <w:rPr>
                <w:rFonts w:ascii="Tahoma" w:hAnsi="Tahoma" w:cs="Tahoma"/>
                <w:sz w:val="20"/>
                <w:szCs w:val="20"/>
                <w:lang w:val="en-GB"/>
              </w:rPr>
            </w:pPr>
            <w:r>
              <w:rPr>
                <w:rFonts w:ascii="Tahoma" w:hAnsi="Tahoma" w:cs="Tahoma"/>
                <w:sz w:val="20"/>
                <w:szCs w:val="20"/>
                <w:lang w:val="en-GB"/>
              </w:rPr>
              <w:t xml:space="preserve">110 </w:t>
            </w:r>
            <w:proofErr w:type="spellStart"/>
            <w:r>
              <w:rPr>
                <w:rFonts w:ascii="Tahoma" w:hAnsi="Tahoma" w:cs="Tahoma"/>
                <w:sz w:val="20"/>
                <w:szCs w:val="20"/>
                <w:lang w:val="en-GB"/>
              </w:rPr>
              <w:t>ects</w:t>
            </w:r>
            <w:proofErr w:type="spellEnd"/>
          </w:p>
        </w:tc>
        <w:tc>
          <w:tcPr>
            <w:tcW w:w="6551" w:type="dxa"/>
          </w:tcPr>
          <w:p w14:paraId="11DBE026" w14:textId="2CDFA8D6" w:rsidR="00C10143" w:rsidRPr="00C10143" w:rsidRDefault="00C10143" w:rsidP="00BE74DF">
            <w:pPr>
              <w:autoSpaceDE w:val="0"/>
              <w:autoSpaceDN w:val="0"/>
              <w:spacing w:before="120" w:after="0" w:line="240" w:lineRule="auto"/>
              <w:rPr>
                <w:rFonts w:ascii="Tahoma" w:hAnsi="Tahoma" w:cs="Tahoma"/>
                <w:iCs/>
                <w:sz w:val="20"/>
                <w:szCs w:val="20"/>
                <w:lang w:val="en-GB"/>
              </w:rPr>
            </w:pPr>
            <w:r w:rsidRPr="00C10143">
              <w:rPr>
                <w:rFonts w:ascii="Tahoma" w:hAnsi="Tahoma" w:cs="Tahoma"/>
                <w:iCs/>
                <w:sz w:val="20"/>
                <w:szCs w:val="20"/>
                <w:lang w:val="en-GB"/>
              </w:rPr>
              <w:t>Professional studies provide the student with knowledge, skills and attitudes needed in the work of a B</w:t>
            </w:r>
            <w:r>
              <w:rPr>
                <w:rFonts w:ascii="Tahoma" w:hAnsi="Tahoma" w:cs="Tahoma"/>
                <w:iCs/>
                <w:sz w:val="20"/>
                <w:szCs w:val="20"/>
                <w:lang w:val="en-GB"/>
              </w:rPr>
              <w:t>achelor of Social Services</w:t>
            </w:r>
            <w:r w:rsidRPr="00C10143">
              <w:rPr>
                <w:rFonts w:ascii="Tahoma" w:hAnsi="Tahoma" w:cs="Tahoma"/>
                <w:iCs/>
                <w:sz w:val="20"/>
                <w:szCs w:val="20"/>
                <w:lang w:val="en-GB"/>
              </w:rPr>
              <w:t>. These studies consist of compulsory and al</w:t>
            </w:r>
            <w:r>
              <w:rPr>
                <w:rFonts w:ascii="Tahoma" w:hAnsi="Tahoma" w:cs="Tahoma"/>
                <w:iCs/>
                <w:sz w:val="20"/>
                <w:szCs w:val="20"/>
                <w:lang w:val="en-GB"/>
              </w:rPr>
              <w:t>ternative professional studies.</w:t>
            </w:r>
          </w:p>
          <w:p w14:paraId="2531B38E" w14:textId="53DD5C22" w:rsidR="00C10143" w:rsidRPr="00C10143" w:rsidRDefault="00C10143" w:rsidP="00BE74DF">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The compulsory professional studies (95 ECTS) offer a comprehensive know</w:t>
            </w:r>
            <w:r>
              <w:rPr>
                <w:rFonts w:ascii="Tahoma" w:hAnsi="Tahoma" w:cs="Tahoma"/>
                <w:iCs/>
                <w:sz w:val="20"/>
                <w:szCs w:val="20"/>
                <w:lang w:val="en-GB"/>
              </w:rPr>
              <w:t>ledge base in the social field.</w:t>
            </w:r>
          </w:p>
          <w:p w14:paraId="7EC21816" w14:textId="77777777" w:rsidR="00C10143" w:rsidRPr="00C10143" w:rsidRDefault="00C10143" w:rsidP="00C10143">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The student also chooses advanced professional studies, 3x5 ECTS totalling 15 ECTS</w:t>
            </w:r>
          </w:p>
          <w:p w14:paraId="77230B76" w14:textId="18643571"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early childhood education expert’s study path</w:t>
            </w:r>
          </w:p>
          <w:p w14:paraId="167B974B" w14:textId="256A8A2E"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case management expert’s study path</w:t>
            </w:r>
          </w:p>
          <w:p w14:paraId="1E67E19A" w14:textId="5F31E203"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a combination of the above mentioned study paths or</w:t>
            </w:r>
          </w:p>
          <w:p w14:paraId="3B12DE34" w14:textId="2DFF93C3"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an individual study path focusi</w:t>
            </w:r>
            <w:r>
              <w:rPr>
                <w:rFonts w:ascii="Tahoma" w:hAnsi="Tahoma" w:cs="Tahoma"/>
                <w:iCs/>
                <w:sz w:val="20"/>
                <w:szCs w:val="20"/>
                <w:lang w:val="en-GB"/>
              </w:rPr>
              <w:t>ng on e.g. entrepreneurship</w:t>
            </w:r>
          </w:p>
          <w:p w14:paraId="711EB77A" w14:textId="1575BFF0" w:rsidR="00C10143" w:rsidRPr="00C10143" w:rsidRDefault="00C10143" w:rsidP="00C10143">
            <w:pPr>
              <w:autoSpaceDE w:val="0"/>
              <w:autoSpaceDN w:val="0"/>
              <w:spacing w:before="120" w:after="120" w:line="240" w:lineRule="auto"/>
              <w:rPr>
                <w:rFonts w:ascii="Tahoma" w:hAnsi="Tahoma" w:cs="Tahoma"/>
                <w:iCs/>
                <w:sz w:val="20"/>
                <w:szCs w:val="20"/>
                <w:lang w:val="en-GB"/>
              </w:rPr>
            </w:pPr>
            <w:r>
              <w:rPr>
                <w:rFonts w:ascii="Tahoma" w:hAnsi="Tahoma" w:cs="Tahoma"/>
                <w:iCs/>
                <w:sz w:val="20"/>
                <w:szCs w:val="20"/>
                <w:lang w:val="en-GB"/>
              </w:rPr>
              <w:t xml:space="preserve">1) </w:t>
            </w:r>
            <w:r w:rsidRPr="00C10143">
              <w:rPr>
                <w:rFonts w:ascii="Tahoma" w:hAnsi="Tahoma" w:cs="Tahoma"/>
                <w:iCs/>
                <w:sz w:val="20"/>
                <w:szCs w:val="20"/>
                <w:lang w:val="en-GB"/>
              </w:rPr>
              <w:t>The early childhood education expert chooses the courses Early Childhood Education Pedagogy, Special Support for the Child and Empowering Participation of the Child as well as the cour</w:t>
            </w:r>
            <w:r>
              <w:rPr>
                <w:rFonts w:ascii="Tahoma" w:hAnsi="Tahoma" w:cs="Tahoma"/>
                <w:iCs/>
                <w:sz w:val="20"/>
                <w:szCs w:val="20"/>
                <w:lang w:val="en-GB"/>
              </w:rPr>
              <w:t>se Early Learning and Guidance.</w:t>
            </w:r>
          </w:p>
          <w:p w14:paraId="20446A91" w14:textId="7F52533C" w:rsidR="00C10143" w:rsidRPr="00C10143" w:rsidRDefault="00C10143" w:rsidP="00C10143">
            <w:pPr>
              <w:autoSpaceDE w:val="0"/>
              <w:autoSpaceDN w:val="0"/>
              <w:spacing w:before="120" w:after="120" w:line="240" w:lineRule="auto"/>
              <w:rPr>
                <w:rFonts w:ascii="Tahoma" w:hAnsi="Tahoma" w:cs="Tahoma"/>
                <w:iCs/>
                <w:sz w:val="20"/>
                <w:szCs w:val="20"/>
                <w:lang w:val="en-GB"/>
              </w:rPr>
            </w:pPr>
            <w:r w:rsidRPr="00C10143">
              <w:rPr>
                <w:rFonts w:ascii="Tahoma" w:hAnsi="Tahoma" w:cs="Tahoma"/>
                <w:iCs/>
                <w:sz w:val="20"/>
                <w:szCs w:val="20"/>
                <w:lang w:val="en-GB"/>
              </w:rPr>
              <w:t xml:space="preserve">These abilities </w:t>
            </w:r>
            <w:proofErr w:type="gramStart"/>
            <w:r w:rsidRPr="00C10143">
              <w:rPr>
                <w:rFonts w:ascii="Tahoma" w:hAnsi="Tahoma" w:cs="Tahoma"/>
                <w:iCs/>
                <w:sz w:val="20"/>
                <w:szCs w:val="20"/>
                <w:lang w:val="en-GB"/>
              </w:rPr>
              <w:t>are needed</w:t>
            </w:r>
            <w:proofErr w:type="gramEnd"/>
            <w:r w:rsidRPr="00C10143">
              <w:rPr>
                <w:rFonts w:ascii="Tahoma" w:hAnsi="Tahoma" w:cs="Tahoma"/>
                <w:iCs/>
                <w:sz w:val="20"/>
                <w:szCs w:val="20"/>
                <w:lang w:val="en-GB"/>
              </w:rPr>
              <w:t xml:space="preserve"> when working work with families in day care, special education and family work. The student learns skills to support growth and guide clients. He or she learns to work in teams as a social work specialist and develop his or her professional skills taking the needs of individuals and families into account. The student is required to complete at least 60 ECTS credits of early childhood education studies to be qualified for work</w:t>
            </w:r>
            <w:r>
              <w:rPr>
                <w:rFonts w:ascii="Tahoma" w:hAnsi="Tahoma" w:cs="Tahoma"/>
                <w:iCs/>
                <w:sz w:val="20"/>
                <w:szCs w:val="20"/>
                <w:lang w:val="en-GB"/>
              </w:rPr>
              <w:t xml:space="preserve">ing as a kindergarten teacher. </w:t>
            </w:r>
          </w:p>
          <w:p w14:paraId="0209EC86" w14:textId="0D697840" w:rsidR="00C10143" w:rsidRPr="00C10143" w:rsidRDefault="00C10143" w:rsidP="00BE74DF">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2) </w:t>
            </w:r>
            <w:r w:rsidRPr="00C10143">
              <w:rPr>
                <w:rFonts w:ascii="Tahoma" w:hAnsi="Tahoma" w:cs="Tahoma"/>
                <w:iCs/>
                <w:sz w:val="20"/>
                <w:szCs w:val="20"/>
                <w:lang w:val="en-GB"/>
              </w:rPr>
              <w:t>The case management expert chooses the following courses: Empowering Participation and Empowering Case Management, Rehabilitation and Supporting the Client and Services for Wor</w:t>
            </w:r>
            <w:r>
              <w:rPr>
                <w:rFonts w:ascii="Tahoma" w:hAnsi="Tahoma" w:cs="Tahoma"/>
                <w:iCs/>
                <w:sz w:val="20"/>
                <w:szCs w:val="20"/>
                <w:lang w:val="en-GB"/>
              </w:rPr>
              <w:t>king-age People and Employment.</w:t>
            </w:r>
          </w:p>
          <w:p w14:paraId="5444891E" w14:textId="0A7592B9" w:rsidR="00C10143" w:rsidRPr="00C10143" w:rsidRDefault="00C10143" w:rsidP="00BE74DF">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These skills and abilities are needed when working in e.g. day centres, supported housing, assisted living facilities, care homes, rehabilitation homes, home care and care institutions, social services centres, employment services centres as well as when working for the Social Insurance Institution in Finland and for other ins</w:t>
            </w:r>
            <w:r>
              <w:rPr>
                <w:rFonts w:ascii="Tahoma" w:hAnsi="Tahoma" w:cs="Tahoma"/>
                <w:iCs/>
                <w:sz w:val="20"/>
                <w:szCs w:val="20"/>
                <w:lang w:val="en-GB"/>
              </w:rPr>
              <w:t>urance institutions.</w:t>
            </w:r>
          </w:p>
          <w:p w14:paraId="644D3770" w14:textId="6C517E5C" w:rsidR="00C10143" w:rsidRPr="00C10143" w:rsidRDefault="00C10143" w:rsidP="00BE74DF">
            <w:pPr>
              <w:autoSpaceDE w:val="0"/>
              <w:autoSpaceDN w:val="0"/>
              <w:spacing w:before="120" w:after="0" w:line="240" w:lineRule="auto"/>
              <w:rPr>
                <w:rFonts w:ascii="Tahoma" w:hAnsi="Tahoma" w:cs="Tahoma"/>
                <w:iCs/>
                <w:sz w:val="20"/>
                <w:szCs w:val="20"/>
                <w:lang w:val="en-GB"/>
              </w:rPr>
            </w:pPr>
            <w:r>
              <w:rPr>
                <w:rFonts w:ascii="Tahoma" w:hAnsi="Tahoma" w:cs="Tahoma"/>
                <w:iCs/>
                <w:sz w:val="20"/>
                <w:szCs w:val="20"/>
                <w:lang w:val="en-GB"/>
              </w:rPr>
              <w:t xml:space="preserve">3) </w:t>
            </w:r>
            <w:r w:rsidRPr="00C10143">
              <w:rPr>
                <w:rFonts w:ascii="Tahoma" w:hAnsi="Tahoma" w:cs="Tahoma"/>
                <w:iCs/>
                <w:sz w:val="20"/>
                <w:szCs w:val="20"/>
                <w:lang w:val="en-GB"/>
              </w:rPr>
              <w:t xml:space="preserve">The student can choose both early childhood education </w:t>
            </w:r>
          </w:p>
          <w:p w14:paraId="26B04FC5" w14:textId="2F51437C" w:rsidR="00C10143" w:rsidRPr="00C10143" w:rsidRDefault="00C10143" w:rsidP="00C10143">
            <w:pPr>
              <w:autoSpaceDE w:val="0"/>
              <w:autoSpaceDN w:val="0"/>
              <w:spacing w:after="0" w:line="240" w:lineRule="auto"/>
              <w:rPr>
                <w:rFonts w:ascii="Tahoma" w:hAnsi="Tahoma" w:cs="Tahoma"/>
                <w:iCs/>
                <w:sz w:val="20"/>
                <w:szCs w:val="20"/>
                <w:lang w:val="en-GB"/>
              </w:rPr>
            </w:pPr>
            <w:proofErr w:type="gramStart"/>
            <w:r w:rsidRPr="00C10143">
              <w:rPr>
                <w:rFonts w:ascii="Tahoma" w:hAnsi="Tahoma" w:cs="Tahoma"/>
                <w:iCs/>
                <w:sz w:val="20"/>
                <w:szCs w:val="20"/>
                <w:lang w:val="en-GB"/>
              </w:rPr>
              <w:t>expert’s</w:t>
            </w:r>
            <w:proofErr w:type="gramEnd"/>
            <w:r w:rsidRPr="00C10143">
              <w:rPr>
                <w:rFonts w:ascii="Tahoma" w:hAnsi="Tahoma" w:cs="Tahoma"/>
                <w:iCs/>
                <w:sz w:val="20"/>
                <w:szCs w:val="20"/>
                <w:lang w:val="en-GB"/>
              </w:rPr>
              <w:t xml:space="preserve"> study path courses and case management expert’s study path courses to be included in his or her advanced professional studies. This enables the student to gain skills and competence in work practices at the individua</w:t>
            </w:r>
            <w:r>
              <w:rPr>
                <w:rFonts w:ascii="Tahoma" w:hAnsi="Tahoma" w:cs="Tahoma"/>
                <w:iCs/>
                <w:sz w:val="20"/>
                <w:szCs w:val="20"/>
                <w:lang w:val="en-GB"/>
              </w:rPr>
              <w:t xml:space="preserve">l, family and community level. </w:t>
            </w:r>
          </w:p>
          <w:p w14:paraId="54F0EDD7" w14:textId="77777777" w:rsidR="00C10143" w:rsidRPr="00C10143" w:rsidRDefault="00C10143" w:rsidP="00C10143">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 xml:space="preserve">These skills are needed when providing early support, in problem </w:t>
            </w:r>
          </w:p>
          <w:p w14:paraId="10CA2A00" w14:textId="3F91C566" w:rsidR="00C10143" w:rsidRPr="00C10143" w:rsidRDefault="00C10143" w:rsidP="00C10143">
            <w:pPr>
              <w:autoSpaceDE w:val="0"/>
              <w:autoSpaceDN w:val="0"/>
              <w:spacing w:after="0" w:line="240" w:lineRule="auto"/>
              <w:rPr>
                <w:rFonts w:ascii="Tahoma" w:hAnsi="Tahoma" w:cs="Tahoma"/>
                <w:iCs/>
                <w:sz w:val="20"/>
                <w:szCs w:val="20"/>
                <w:lang w:val="en-GB"/>
              </w:rPr>
            </w:pPr>
            <w:proofErr w:type="gramStart"/>
            <w:r w:rsidRPr="00C10143">
              <w:rPr>
                <w:rFonts w:ascii="Tahoma" w:hAnsi="Tahoma" w:cs="Tahoma"/>
                <w:iCs/>
                <w:sz w:val="20"/>
                <w:szCs w:val="20"/>
                <w:lang w:val="en-GB"/>
              </w:rPr>
              <w:t>prevention</w:t>
            </w:r>
            <w:proofErr w:type="gramEnd"/>
            <w:r w:rsidRPr="00C10143">
              <w:rPr>
                <w:rFonts w:ascii="Tahoma" w:hAnsi="Tahoma" w:cs="Tahoma"/>
                <w:iCs/>
                <w:sz w:val="20"/>
                <w:szCs w:val="20"/>
                <w:lang w:val="en-GB"/>
              </w:rPr>
              <w:t xml:space="preserve"> and rehabilitation work in various operational environments, e.g. in child and youth work, child protection and</w:t>
            </w:r>
            <w:r>
              <w:rPr>
                <w:rFonts w:ascii="Tahoma" w:hAnsi="Tahoma" w:cs="Tahoma"/>
                <w:iCs/>
                <w:sz w:val="20"/>
                <w:szCs w:val="20"/>
                <w:lang w:val="en-GB"/>
              </w:rPr>
              <w:t xml:space="preserve"> different early support tasks.</w:t>
            </w:r>
          </w:p>
          <w:p w14:paraId="191083B7" w14:textId="504C2745" w:rsidR="00C10143" w:rsidRPr="00C10143" w:rsidRDefault="00C10143" w:rsidP="00BE74DF">
            <w:pPr>
              <w:autoSpaceDE w:val="0"/>
              <w:autoSpaceDN w:val="0"/>
              <w:spacing w:before="120" w:after="0" w:line="240" w:lineRule="auto"/>
              <w:rPr>
                <w:rFonts w:ascii="Tahoma" w:hAnsi="Tahoma" w:cs="Tahoma"/>
                <w:iCs/>
                <w:sz w:val="20"/>
                <w:szCs w:val="20"/>
                <w:lang w:val="en-GB"/>
              </w:rPr>
            </w:pPr>
            <w:r>
              <w:rPr>
                <w:rFonts w:ascii="Tahoma" w:hAnsi="Tahoma" w:cs="Tahoma"/>
                <w:iCs/>
                <w:sz w:val="20"/>
                <w:szCs w:val="20"/>
                <w:lang w:val="en-GB"/>
              </w:rPr>
              <w:t xml:space="preserve">4) </w:t>
            </w:r>
            <w:r w:rsidRPr="00C10143">
              <w:rPr>
                <w:rFonts w:ascii="Tahoma" w:hAnsi="Tahoma" w:cs="Tahoma"/>
                <w:iCs/>
                <w:sz w:val="20"/>
                <w:szCs w:val="20"/>
                <w:lang w:val="en-GB"/>
              </w:rPr>
              <w:t>The student can combine different alternatives at Savonia UAS to be included in the</w:t>
            </w:r>
            <w:r>
              <w:rPr>
                <w:rFonts w:ascii="Tahoma" w:hAnsi="Tahoma" w:cs="Tahoma"/>
                <w:iCs/>
                <w:sz w:val="20"/>
                <w:szCs w:val="20"/>
                <w:lang w:val="en-GB"/>
              </w:rPr>
              <w:t xml:space="preserve"> advanced professional studies.</w:t>
            </w:r>
          </w:p>
          <w:p w14:paraId="35382EED" w14:textId="27E641EC" w:rsidR="00D91824" w:rsidRPr="002A5261" w:rsidRDefault="00C10143" w:rsidP="00CD0507">
            <w:pPr>
              <w:autoSpaceDE w:val="0"/>
              <w:autoSpaceDN w:val="0"/>
              <w:spacing w:after="120" w:line="240" w:lineRule="auto"/>
              <w:rPr>
                <w:rFonts w:ascii="Tahoma" w:hAnsi="Tahoma" w:cs="Tahoma"/>
                <w:iCs/>
                <w:sz w:val="20"/>
                <w:szCs w:val="20"/>
                <w:lang w:val="en-GB"/>
              </w:rPr>
            </w:pPr>
            <w:r w:rsidRPr="00C10143">
              <w:rPr>
                <w:rFonts w:ascii="Tahoma" w:hAnsi="Tahoma" w:cs="Tahoma"/>
                <w:iCs/>
                <w:sz w:val="20"/>
                <w:szCs w:val="20"/>
                <w:lang w:val="en-GB"/>
              </w:rPr>
              <w:t>A student wishing to become an entrepreneur can choose innovation and entrepreneurship stu</w:t>
            </w:r>
            <w:r>
              <w:rPr>
                <w:rFonts w:ascii="Tahoma" w:hAnsi="Tahoma" w:cs="Tahoma"/>
                <w:iCs/>
                <w:sz w:val="20"/>
                <w:szCs w:val="20"/>
                <w:lang w:val="en-GB"/>
              </w:rPr>
              <w:t xml:space="preserve">dy path courses, the </w:t>
            </w:r>
            <w:proofErr w:type="gramStart"/>
            <w:r>
              <w:rPr>
                <w:rFonts w:ascii="Tahoma" w:hAnsi="Tahoma" w:cs="Tahoma"/>
                <w:iCs/>
                <w:sz w:val="20"/>
                <w:szCs w:val="20"/>
                <w:lang w:val="en-GB"/>
              </w:rPr>
              <w:t xml:space="preserve">so </w:t>
            </w:r>
            <w:r w:rsidRPr="00C10143">
              <w:rPr>
                <w:rFonts w:ascii="Tahoma" w:hAnsi="Tahoma" w:cs="Tahoma"/>
                <w:iCs/>
                <w:sz w:val="20"/>
                <w:szCs w:val="20"/>
                <w:lang w:val="en-GB"/>
              </w:rPr>
              <w:t>called</w:t>
            </w:r>
            <w:proofErr w:type="gramEnd"/>
            <w:r w:rsidRPr="00C10143">
              <w:rPr>
                <w:rFonts w:ascii="Tahoma" w:hAnsi="Tahoma" w:cs="Tahoma"/>
                <w:iCs/>
                <w:sz w:val="20"/>
                <w:szCs w:val="20"/>
                <w:lang w:val="en-GB"/>
              </w:rPr>
              <w:t xml:space="preserve"> </w:t>
            </w:r>
            <w:proofErr w:type="spellStart"/>
            <w:r w:rsidRPr="00C10143">
              <w:rPr>
                <w:rFonts w:ascii="Tahoma" w:hAnsi="Tahoma" w:cs="Tahoma"/>
                <w:iCs/>
                <w:sz w:val="20"/>
                <w:szCs w:val="20"/>
                <w:lang w:val="en-GB"/>
              </w:rPr>
              <w:t>yPolku</w:t>
            </w:r>
            <w:proofErr w:type="spellEnd"/>
            <w:r w:rsidRPr="00C10143">
              <w:rPr>
                <w:rFonts w:ascii="Tahoma" w:hAnsi="Tahoma" w:cs="Tahoma"/>
                <w:iCs/>
                <w:sz w:val="20"/>
                <w:szCs w:val="20"/>
                <w:lang w:val="en-GB"/>
              </w:rPr>
              <w:t xml:space="preserve"> studies </w:t>
            </w:r>
            <w:r w:rsidRPr="00C10143">
              <w:rPr>
                <w:rFonts w:ascii="Tahoma" w:hAnsi="Tahoma" w:cs="Tahoma"/>
                <w:iCs/>
                <w:sz w:val="20"/>
                <w:szCs w:val="20"/>
                <w:lang w:val="en-GB"/>
              </w:rPr>
              <w:lastRenderedPageBreak/>
              <w:t xml:space="preserve">offered for all Savonia UAS students. In this </w:t>
            </w:r>
            <w:proofErr w:type="gramStart"/>
            <w:r w:rsidRPr="00C10143">
              <w:rPr>
                <w:rFonts w:ascii="Tahoma" w:hAnsi="Tahoma" w:cs="Tahoma"/>
                <w:iCs/>
                <w:sz w:val="20"/>
                <w:szCs w:val="20"/>
                <w:lang w:val="en-GB"/>
              </w:rPr>
              <w:t>case</w:t>
            </w:r>
            <w:proofErr w:type="gramEnd"/>
            <w:r w:rsidRPr="00C10143">
              <w:rPr>
                <w:rFonts w:ascii="Tahoma" w:hAnsi="Tahoma" w:cs="Tahoma"/>
                <w:iCs/>
                <w:sz w:val="20"/>
                <w:szCs w:val="20"/>
                <w:lang w:val="en-GB"/>
              </w:rPr>
              <w:t xml:space="preserve"> the student chooses to do his or her internship in care and other companies where he or she can learn about entrepreneurship in social and health care.  Students can also choose courses to be included in the advanced professional studies from other universities of applied sciences, e.g.</w:t>
            </w:r>
            <w:r>
              <w:rPr>
                <w:rFonts w:ascii="Tahoma" w:hAnsi="Tahoma" w:cs="Tahoma"/>
                <w:iCs/>
                <w:sz w:val="20"/>
                <w:szCs w:val="20"/>
                <w:lang w:val="en-GB"/>
              </w:rPr>
              <w:t xml:space="preserve"> correctional services studies.</w:t>
            </w:r>
          </w:p>
        </w:tc>
      </w:tr>
      <w:tr w:rsidR="00D03397" w:rsidRPr="00CD0507" w14:paraId="35382EF2" w14:textId="77777777" w:rsidTr="00647E37">
        <w:tc>
          <w:tcPr>
            <w:tcW w:w="2093" w:type="dxa"/>
          </w:tcPr>
          <w:p w14:paraId="35382EEF"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lastRenderedPageBreak/>
              <w:t>Internship</w:t>
            </w:r>
          </w:p>
        </w:tc>
        <w:tc>
          <w:tcPr>
            <w:tcW w:w="1134" w:type="dxa"/>
          </w:tcPr>
          <w:p w14:paraId="35382EF0" w14:textId="19A5C7D9" w:rsidR="00D03397" w:rsidRPr="002A5261" w:rsidRDefault="00C10143" w:rsidP="00D03397">
            <w:pPr>
              <w:spacing w:before="120" w:after="120"/>
              <w:rPr>
                <w:rFonts w:ascii="Tahoma" w:hAnsi="Tahoma" w:cs="Tahoma"/>
                <w:sz w:val="20"/>
                <w:szCs w:val="20"/>
                <w:lang w:val="en-GB"/>
              </w:rPr>
            </w:pPr>
            <w:r>
              <w:rPr>
                <w:rFonts w:ascii="Tahoma" w:hAnsi="Tahoma" w:cs="Tahoma"/>
                <w:sz w:val="20"/>
                <w:szCs w:val="20"/>
                <w:lang w:val="en-GB"/>
              </w:rPr>
              <w:t xml:space="preserve">45 </w:t>
            </w:r>
            <w:proofErr w:type="spellStart"/>
            <w:r>
              <w:rPr>
                <w:rFonts w:ascii="Tahoma" w:hAnsi="Tahoma" w:cs="Tahoma"/>
                <w:sz w:val="20"/>
                <w:szCs w:val="20"/>
                <w:lang w:val="en-GB"/>
              </w:rPr>
              <w:t>ects</w:t>
            </w:r>
            <w:proofErr w:type="spellEnd"/>
          </w:p>
        </w:tc>
        <w:tc>
          <w:tcPr>
            <w:tcW w:w="6551" w:type="dxa"/>
          </w:tcPr>
          <w:p w14:paraId="6A69B1B4" w14:textId="77777777" w:rsidR="00C10143" w:rsidRDefault="00C10143" w:rsidP="00CD0507">
            <w:pPr>
              <w:autoSpaceDE w:val="0"/>
              <w:autoSpaceDN w:val="0"/>
              <w:spacing w:before="120" w:after="0" w:line="240" w:lineRule="auto"/>
              <w:rPr>
                <w:rFonts w:ascii="Tahoma" w:hAnsi="Tahoma" w:cs="Tahoma"/>
                <w:iCs/>
                <w:sz w:val="20"/>
                <w:szCs w:val="20"/>
                <w:lang w:val="en-GB"/>
              </w:rPr>
            </w:pPr>
            <w:r w:rsidRPr="00C10143">
              <w:rPr>
                <w:rFonts w:ascii="Tahoma" w:hAnsi="Tahoma" w:cs="Tahoma"/>
                <w:iCs/>
                <w:sz w:val="20"/>
                <w:szCs w:val="20"/>
                <w:lang w:val="en-GB"/>
              </w:rPr>
              <w:t>Basic and professional studies include guided and supervis</w:t>
            </w:r>
            <w:r>
              <w:rPr>
                <w:rFonts w:ascii="Tahoma" w:hAnsi="Tahoma" w:cs="Tahoma"/>
                <w:iCs/>
                <w:sz w:val="20"/>
                <w:szCs w:val="20"/>
                <w:lang w:val="en-GB"/>
              </w:rPr>
              <w:t xml:space="preserve">ed internship periods (3x15 </w:t>
            </w:r>
            <w:proofErr w:type="spellStart"/>
            <w:r>
              <w:rPr>
                <w:rFonts w:ascii="Tahoma" w:hAnsi="Tahoma" w:cs="Tahoma"/>
                <w:iCs/>
                <w:sz w:val="20"/>
                <w:szCs w:val="20"/>
                <w:lang w:val="en-GB"/>
              </w:rPr>
              <w:t>ects</w:t>
            </w:r>
            <w:proofErr w:type="spellEnd"/>
            <w:r w:rsidRPr="00C10143">
              <w:rPr>
                <w:rFonts w:ascii="Tahoma" w:hAnsi="Tahoma" w:cs="Tahoma"/>
                <w:iCs/>
                <w:sz w:val="20"/>
                <w:szCs w:val="20"/>
                <w:lang w:val="en-GB"/>
              </w:rPr>
              <w:t xml:space="preserve">) to </w:t>
            </w:r>
            <w:proofErr w:type="gramStart"/>
            <w:r w:rsidRPr="00C10143">
              <w:rPr>
                <w:rFonts w:ascii="Tahoma" w:hAnsi="Tahoma" w:cs="Tahoma"/>
                <w:iCs/>
                <w:sz w:val="20"/>
                <w:szCs w:val="20"/>
                <w:lang w:val="en-GB"/>
              </w:rPr>
              <w:t>be completed</w:t>
            </w:r>
            <w:proofErr w:type="gramEnd"/>
            <w:r w:rsidRPr="00C10143">
              <w:rPr>
                <w:rFonts w:ascii="Tahoma" w:hAnsi="Tahoma" w:cs="Tahoma"/>
                <w:iCs/>
                <w:sz w:val="20"/>
                <w:szCs w:val="20"/>
                <w:lang w:val="en-GB"/>
              </w:rPr>
              <w:t xml:space="preserve"> in close cooperation with working life in different service, rehabilitation and operational units and in development projects. During the </w:t>
            </w:r>
            <w:proofErr w:type="gramStart"/>
            <w:r w:rsidRPr="00C10143">
              <w:rPr>
                <w:rFonts w:ascii="Tahoma" w:hAnsi="Tahoma" w:cs="Tahoma"/>
                <w:iCs/>
                <w:sz w:val="20"/>
                <w:szCs w:val="20"/>
                <w:lang w:val="en-GB"/>
              </w:rPr>
              <w:t>internship</w:t>
            </w:r>
            <w:proofErr w:type="gramEnd"/>
            <w:r w:rsidRPr="00C10143">
              <w:rPr>
                <w:rFonts w:ascii="Tahoma" w:hAnsi="Tahoma" w:cs="Tahoma"/>
                <w:iCs/>
                <w:sz w:val="20"/>
                <w:szCs w:val="20"/>
                <w:lang w:val="en-GB"/>
              </w:rPr>
              <w:t xml:space="preserve"> the student becomes familiar with practical work and learns to apply knowledge and skills in working life. The supervised internship prepares the student for working life by deepening his or her professional skills and competence. It also makes it easier for the student to find employment in the field. The student learns to think critically and combine theory with practice in real-life situations. </w:t>
            </w:r>
          </w:p>
          <w:p w14:paraId="47E4E1A1" w14:textId="40968B45" w:rsidR="00C10143" w:rsidRPr="00C10143" w:rsidRDefault="00C10143" w:rsidP="00C10143">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 xml:space="preserve">The student is required to complete a certain number of credits before the start of his or her internship period: </w:t>
            </w:r>
          </w:p>
          <w:p w14:paraId="32B0A92B" w14:textId="5AA267CC"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Professional internship 1 SSOHAR1A/10 ECTS and SSOHAR1B/5 ECTS (30 ECTS)</w:t>
            </w:r>
          </w:p>
          <w:p w14:paraId="3E569BA1" w14:textId="7ABEA27F"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Professional int</w:t>
            </w:r>
            <w:r>
              <w:rPr>
                <w:rFonts w:ascii="Tahoma" w:hAnsi="Tahoma" w:cs="Tahoma"/>
                <w:iCs/>
                <w:sz w:val="20"/>
                <w:szCs w:val="20"/>
                <w:lang w:val="en-GB"/>
              </w:rPr>
              <w:t xml:space="preserve">ernship 2 SSMHAR2A/10 ECTS and </w:t>
            </w:r>
            <w:r w:rsidRPr="00C10143">
              <w:rPr>
                <w:rFonts w:ascii="Tahoma" w:hAnsi="Tahoma" w:cs="Tahoma"/>
                <w:iCs/>
                <w:sz w:val="20"/>
                <w:szCs w:val="20"/>
                <w:lang w:val="en-GB"/>
              </w:rPr>
              <w:t>SSMHAR2B/5 ECTS (90 ECTS)</w:t>
            </w:r>
          </w:p>
          <w:p w14:paraId="38EF3D57" w14:textId="77777777" w:rsid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Advanced internship SSKHARA</w:t>
            </w:r>
            <w:r w:rsidRPr="00C10143">
              <w:rPr>
                <w:rFonts w:ascii="Tahoma" w:hAnsi="Tahoma" w:cs="Tahoma"/>
                <w:iCs/>
                <w:sz w:val="20"/>
                <w:szCs w:val="20"/>
                <w:lang w:val="en-GB"/>
              </w:rPr>
              <w:t xml:space="preserve">/10 ECTS and SSKHARB/5 ECTS </w:t>
            </w:r>
          </w:p>
          <w:p w14:paraId="2B6AF06F" w14:textId="0F567961" w:rsidR="00C10143" w:rsidRPr="00C10143" w:rsidRDefault="00C10143" w:rsidP="00C10143">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 xml:space="preserve">(150 ECTS). </w:t>
            </w:r>
          </w:p>
          <w:p w14:paraId="7DBF39EA" w14:textId="77777777" w:rsidR="00C10143" w:rsidRPr="00C10143" w:rsidRDefault="00C10143" w:rsidP="00C10143">
            <w:pPr>
              <w:autoSpaceDE w:val="0"/>
              <w:autoSpaceDN w:val="0"/>
              <w:spacing w:after="0" w:line="240" w:lineRule="auto"/>
              <w:rPr>
                <w:rFonts w:ascii="Tahoma" w:hAnsi="Tahoma" w:cs="Tahoma"/>
                <w:iCs/>
                <w:sz w:val="20"/>
                <w:szCs w:val="20"/>
                <w:lang w:val="en-GB"/>
              </w:rPr>
            </w:pPr>
            <w:r w:rsidRPr="00C10143">
              <w:rPr>
                <w:rFonts w:ascii="Tahoma" w:hAnsi="Tahoma" w:cs="Tahoma"/>
                <w:iCs/>
                <w:sz w:val="20"/>
                <w:szCs w:val="20"/>
                <w:lang w:val="en-GB"/>
              </w:rPr>
              <w:t>The student is responsible for:</w:t>
            </w:r>
          </w:p>
          <w:p w14:paraId="2C1DC58A" w14:textId="4AB0FC76" w:rsidR="00C10143" w:rsidRPr="00C10143" w:rsidRDefault="00C10143" w:rsidP="00C10143">
            <w:pPr>
              <w:autoSpaceDE w:val="0"/>
              <w:autoSpaceDN w:val="0"/>
              <w:spacing w:after="0" w:line="240" w:lineRule="auto"/>
              <w:rPr>
                <w:rFonts w:ascii="Tahoma" w:hAnsi="Tahoma" w:cs="Tahoma"/>
                <w:iCs/>
                <w:sz w:val="20"/>
                <w:szCs w:val="20"/>
                <w:lang w:val="en-GB"/>
              </w:rPr>
            </w:pPr>
            <w:r>
              <w:rPr>
                <w:rFonts w:ascii="Tahoma" w:hAnsi="Tahoma" w:cs="Tahoma"/>
                <w:iCs/>
                <w:sz w:val="20"/>
                <w:szCs w:val="20"/>
                <w:lang w:val="en-GB"/>
              </w:rPr>
              <w:t xml:space="preserve">- </w:t>
            </w:r>
            <w:r w:rsidRPr="00C10143">
              <w:rPr>
                <w:rFonts w:ascii="Tahoma" w:hAnsi="Tahoma" w:cs="Tahoma"/>
                <w:iCs/>
                <w:sz w:val="20"/>
                <w:szCs w:val="20"/>
                <w:lang w:val="en-GB"/>
              </w:rPr>
              <w:t>finding the internship placement and setting the objectives</w:t>
            </w:r>
          </w:p>
          <w:p w14:paraId="35382EF1" w14:textId="4EF1F36C" w:rsidR="00566B33" w:rsidRPr="002A5261" w:rsidRDefault="00C10143" w:rsidP="00CD0507">
            <w:pPr>
              <w:autoSpaceDE w:val="0"/>
              <w:autoSpaceDN w:val="0"/>
              <w:spacing w:after="120" w:line="240" w:lineRule="auto"/>
              <w:rPr>
                <w:rFonts w:ascii="Tahoma" w:hAnsi="Tahoma" w:cs="Tahoma"/>
                <w:iCs/>
                <w:sz w:val="20"/>
                <w:szCs w:val="20"/>
                <w:lang w:val="en-GB"/>
              </w:rPr>
            </w:pPr>
            <w:r>
              <w:rPr>
                <w:rFonts w:ascii="Tahoma" w:hAnsi="Tahoma" w:cs="Tahoma"/>
                <w:iCs/>
                <w:sz w:val="20"/>
                <w:szCs w:val="20"/>
                <w:lang w:val="en-GB"/>
              </w:rPr>
              <w:t xml:space="preserve">- </w:t>
            </w:r>
            <w:bookmarkStart w:id="0" w:name="_GoBack"/>
            <w:r w:rsidRPr="00C10143">
              <w:rPr>
                <w:rFonts w:ascii="Tahoma" w:hAnsi="Tahoma" w:cs="Tahoma"/>
                <w:iCs/>
                <w:sz w:val="20"/>
                <w:szCs w:val="20"/>
                <w:lang w:val="en-GB"/>
              </w:rPr>
              <w:t xml:space="preserve">reporting on the </w:t>
            </w:r>
            <w:bookmarkEnd w:id="0"/>
            <w:r w:rsidRPr="00C10143">
              <w:rPr>
                <w:rFonts w:ascii="Tahoma" w:hAnsi="Tahoma" w:cs="Tahoma"/>
                <w:iCs/>
                <w:sz w:val="20"/>
                <w:szCs w:val="20"/>
                <w:lang w:val="en-GB"/>
              </w:rPr>
              <w:t>internship in accordance with the internship plan</w:t>
            </w:r>
          </w:p>
        </w:tc>
      </w:tr>
      <w:tr w:rsidR="00D03397" w:rsidRPr="00CD0507" w14:paraId="35382EFC" w14:textId="77777777" w:rsidTr="00647E37">
        <w:tc>
          <w:tcPr>
            <w:tcW w:w="2093" w:type="dxa"/>
          </w:tcPr>
          <w:p w14:paraId="35382EF3"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Thesis</w:t>
            </w:r>
          </w:p>
          <w:p w14:paraId="35382EF4" w14:textId="77777777" w:rsidR="00D03397" w:rsidRPr="002A5261" w:rsidRDefault="00D03397" w:rsidP="00D03397">
            <w:pPr>
              <w:spacing w:before="120" w:after="120"/>
              <w:rPr>
                <w:rFonts w:ascii="Tahoma" w:hAnsi="Tahoma" w:cs="Tahoma"/>
                <w:sz w:val="20"/>
                <w:szCs w:val="20"/>
                <w:lang w:val="en-GB"/>
              </w:rPr>
            </w:pPr>
          </w:p>
        </w:tc>
        <w:tc>
          <w:tcPr>
            <w:tcW w:w="1134" w:type="dxa"/>
          </w:tcPr>
          <w:p w14:paraId="35382EF5" w14:textId="393070CA" w:rsidR="00D03397" w:rsidRPr="00C10143" w:rsidRDefault="00C10143" w:rsidP="00C10143">
            <w:pPr>
              <w:spacing w:before="120" w:after="120"/>
              <w:rPr>
                <w:rFonts w:ascii="Tahoma" w:hAnsi="Tahoma" w:cs="Tahoma"/>
                <w:sz w:val="20"/>
                <w:szCs w:val="20"/>
                <w:lang w:val="en-GB"/>
              </w:rPr>
            </w:pPr>
            <w:r>
              <w:rPr>
                <w:rFonts w:ascii="Tahoma" w:hAnsi="Tahoma" w:cs="Tahoma"/>
                <w:sz w:val="20"/>
                <w:szCs w:val="20"/>
                <w:lang w:val="en-GB"/>
              </w:rPr>
              <w:t xml:space="preserve">15 </w:t>
            </w:r>
            <w:proofErr w:type="spellStart"/>
            <w:r w:rsidRPr="00C10143">
              <w:rPr>
                <w:rFonts w:ascii="Tahoma" w:hAnsi="Tahoma" w:cs="Tahoma"/>
                <w:sz w:val="20"/>
                <w:szCs w:val="20"/>
                <w:lang w:val="en-GB"/>
              </w:rPr>
              <w:t>ects</w:t>
            </w:r>
            <w:proofErr w:type="spellEnd"/>
            <w:r>
              <w:rPr>
                <w:rFonts w:ascii="Tahoma" w:hAnsi="Tahoma" w:cs="Tahoma"/>
                <w:sz w:val="20"/>
                <w:szCs w:val="20"/>
                <w:lang w:val="en-GB"/>
              </w:rPr>
              <w:t xml:space="preserve"> </w:t>
            </w:r>
          </w:p>
        </w:tc>
        <w:tc>
          <w:tcPr>
            <w:tcW w:w="6551" w:type="dxa"/>
          </w:tcPr>
          <w:p w14:paraId="650DF2A3" w14:textId="77777777" w:rsidR="00C10143" w:rsidRPr="00C10143" w:rsidRDefault="00C10143" w:rsidP="00CD0507">
            <w:pPr>
              <w:autoSpaceDE w:val="0"/>
              <w:autoSpaceDN w:val="0"/>
              <w:spacing w:before="120" w:after="0" w:line="240" w:lineRule="auto"/>
              <w:rPr>
                <w:rFonts w:ascii="Tahoma" w:hAnsi="Tahoma" w:cs="Tahoma"/>
                <w:sz w:val="20"/>
                <w:szCs w:val="20"/>
                <w:lang w:val="en-GB"/>
              </w:rPr>
            </w:pPr>
            <w:r w:rsidRPr="00C10143">
              <w:rPr>
                <w:rFonts w:ascii="Tahoma" w:hAnsi="Tahoma" w:cs="Tahoma"/>
                <w:sz w:val="20"/>
                <w:szCs w:val="20"/>
                <w:lang w:val="en-GB"/>
              </w:rPr>
              <w:t xml:space="preserve">The thesis can be research or practice-based. It can also be a development </w:t>
            </w:r>
            <w:proofErr w:type="gramStart"/>
            <w:r w:rsidRPr="00C10143">
              <w:rPr>
                <w:rFonts w:ascii="Tahoma" w:hAnsi="Tahoma" w:cs="Tahoma"/>
                <w:sz w:val="20"/>
                <w:szCs w:val="20"/>
                <w:lang w:val="en-GB"/>
              </w:rPr>
              <w:t>work which</w:t>
            </w:r>
            <w:proofErr w:type="gramEnd"/>
            <w:r w:rsidRPr="00C10143">
              <w:rPr>
                <w:rFonts w:ascii="Tahoma" w:hAnsi="Tahoma" w:cs="Tahoma"/>
                <w:sz w:val="20"/>
                <w:szCs w:val="20"/>
                <w:lang w:val="en-GB"/>
              </w:rPr>
              <w:t xml:space="preserve"> is closely linked with current development needs in working life. The internship, project, research and data </w:t>
            </w:r>
          </w:p>
          <w:p w14:paraId="360226BF" w14:textId="1BA3FD47" w:rsidR="00C10143" w:rsidRPr="00C10143" w:rsidRDefault="00C10143" w:rsidP="00CD0507">
            <w:pPr>
              <w:autoSpaceDE w:val="0"/>
              <w:autoSpaceDN w:val="0"/>
              <w:spacing w:after="0" w:line="240" w:lineRule="auto"/>
              <w:rPr>
                <w:rFonts w:ascii="Tahoma" w:hAnsi="Tahoma" w:cs="Tahoma"/>
                <w:sz w:val="20"/>
                <w:szCs w:val="20"/>
                <w:lang w:val="en-GB"/>
              </w:rPr>
            </w:pPr>
            <w:proofErr w:type="gramStart"/>
            <w:r w:rsidRPr="00C10143">
              <w:rPr>
                <w:rFonts w:ascii="Tahoma" w:hAnsi="Tahoma" w:cs="Tahoma"/>
                <w:sz w:val="20"/>
                <w:szCs w:val="20"/>
                <w:lang w:val="en-GB"/>
              </w:rPr>
              <w:t>acquisition</w:t>
            </w:r>
            <w:proofErr w:type="gramEnd"/>
            <w:r w:rsidRPr="00C10143">
              <w:rPr>
                <w:rFonts w:ascii="Tahoma" w:hAnsi="Tahoma" w:cs="Tahoma"/>
                <w:sz w:val="20"/>
                <w:szCs w:val="20"/>
                <w:lang w:val="en-GB"/>
              </w:rPr>
              <w:t xml:space="preserve"> studies and thesis work develop skills and competence needed in self-improvement and development of professional work. The thesis is a work and learning process supervised, guided </w:t>
            </w:r>
            <w:r>
              <w:rPr>
                <w:rFonts w:ascii="Tahoma" w:hAnsi="Tahoma" w:cs="Tahoma"/>
                <w:sz w:val="20"/>
                <w:szCs w:val="20"/>
                <w:lang w:val="en-GB"/>
              </w:rPr>
              <w:t>and evaluated by professionals.</w:t>
            </w:r>
          </w:p>
          <w:p w14:paraId="0B952B6E" w14:textId="77777777" w:rsidR="00C10143" w:rsidRPr="00C10143" w:rsidRDefault="00C10143" w:rsidP="00CD0507">
            <w:pPr>
              <w:autoSpaceDE w:val="0"/>
              <w:autoSpaceDN w:val="0"/>
              <w:spacing w:after="0" w:line="240" w:lineRule="auto"/>
              <w:rPr>
                <w:rFonts w:ascii="Tahoma" w:hAnsi="Tahoma" w:cs="Tahoma"/>
                <w:sz w:val="20"/>
                <w:szCs w:val="20"/>
                <w:lang w:val="en-GB"/>
              </w:rPr>
            </w:pPr>
            <w:r w:rsidRPr="00C10143">
              <w:rPr>
                <w:rFonts w:ascii="Tahoma" w:hAnsi="Tahoma" w:cs="Tahoma"/>
                <w:sz w:val="20"/>
                <w:szCs w:val="20"/>
                <w:lang w:val="en-GB"/>
              </w:rPr>
              <w:t xml:space="preserve"> In the thesis process the student is responsible for</w:t>
            </w:r>
          </w:p>
          <w:p w14:paraId="74AFDDB8" w14:textId="47C632E4" w:rsidR="00C10143" w:rsidRPr="00C10143" w:rsidRDefault="00C10143" w:rsidP="00CD0507">
            <w:pPr>
              <w:autoSpaceDE w:val="0"/>
              <w:autoSpaceDN w:val="0"/>
              <w:spacing w:after="0" w:line="240" w:lineRule="auto"/>
              <w:rPr>
                <w:rFonts w:ascii="Tahoma" w:hAnsi="Tahoma" w:cs="Tahoma"/>
                <w:sz w:val="20"/>
                <w:szCs w:val="20"/>
                <w:lang w:val="en-GB"/>
              </w:rPr>
            </w:pPr>
            <w:r>
              <w:rPr>
                <w:rFonts w:ascii="Tahoma" w:hAnsi="Tahoma" w:cs="Tahoma"/>
                <w:sz w:val="20"/>
                <w:szCs w:val="20"/>
                <w:lang w:val="en-GB"/>
              </w:rPr>
              <w:t xml:space="preserve">- </w:t>
            </w:r>
            <w:r w:rsidRPr="00C10143">
              <w:rPr>
                <w:rFonts w:ascii="Tahoma" w:hAnsi="Tahoma" w:cs="Tahoma"/>
                <w:sz w:val="20"/>
                <w:szCs w:val="20"/>
                <w:lang w:val="en-GB"/>
              </w:rPr>
              <w:t>finding a thesis topic integrated with working life</w:t>
            </w:r>
          </w:p>
          <w:p w14:paraId="19D9D5FB" w14:textId="616BBF34" w:rsidR="00C10143" w:rsidRPr="00C10143" w:rsidRDefault="00C10143" w:rsidP="00CD0507">
            <w:pPr>
              <w:autoSpaceDE w:val="0"/>
              <w:autoSpaceDN w:val="0"/>
              <w:spacing w:after="0" w:line="240" w:lineRule="auto"/>
              <w:rPr>
                <w:rFonts w:ascii="Tahoma" w:hAnsi="Tahoma" w:cs="Tahoma"/>
                <w:sz w:val="20"/>
                <w:szCs w:val="20"/>
                <w:lang w:val="en-GB"/>
              </w:rPr>
            </w:pPr>
            <w:r>
              <w:rPr>
                <w:rFonts w:ascii="Tahoma" w:hAnsi="Tahoma" w:cs="Tahoma"/>
                <w:sz w:val="20"/>
                <w:szCs w:val="20"/>
                <w:lang w:val="en-GB"/>
              </w:rPr>
              <w:t xml:space="preserve">- </w:t>
            </w:r>
            <w:r w:rsidRPr="00C10143">
              <w:rPr>
                <w:rFonts w:ascii="Tahoma" w:hAnsi="Tahoma" w:cs="Tahoma"/>
                <w:sz w:val="20"/>
                <w:szCs w:val="20"/>
                <w:lang w:val="en-GB"/>
              </w:rPr>
              <w:t>increasing his or her knowledge in the subject field and creating the framework for the assignment</w:t>
            </w:r>
          </w:p>
          <w:p w14:paraId="54F2B4A8" w14:textId="14DFBDE0" w:rsidR="00C10143" w:rsidRPr="00C10143" w:rsidRDefault="00C10143" w:rsidP="00CD0507">
            <w:pPr>
              <w:autoSpaceDE w:val="0"/>
              <w:autoSpaceDN w:val="0"/>
              <w:spacing w:after="0" w:line="240" w:lineRule="auto"/>
              <w:rPr>
                <w:rFonts w:ascii="Tahoma" w:hAnsi="Tahoma" w:cs="Tahoma"/>
                <w:sz w:val="20"/>
                <w:szCs w:val="20"/>
                <w:lang w:val="en-GB"/>
              </w:rPr>
            </w:pPr>
            <w:r>
              <w:rPr>
                <w:rFonts w:ascii="Tahoma" w:hAnsi="Tahoma" w:cs="Tahoma"/>
                <w:sz w:val="20"/>
                <w:szCs w:val="20"/>
                <w:lang w:val="en-GB"/>
              </w:rPr>
              <w:t xml:space="preserve">- </w:t>
            </w:r>
            <w:r w:rsidRPr="00C10143">
              <w:rPr>
                <w:rFonts w:ascii="Tahoma" w:hAnsi="Tahoma" w:cs="Tahoma"/>
                <w:sz w:val="20"/>
                <w:szCs w:val="20"/>
                <w:lang w:val="en-GB"/>
              </w:rPr>
              <w:t>completing the assignment and reporting on the process and outcomes</w:t>
            </w:r>
          </w:p>
          <w:p w14:paraId="4AA35B31" w14:textId="670CE533" w:rsidR="00C10143" w:rsidRPr="00C10143" w:rsidRDefault="00C10143" w:rsidP="00CD0507">
            <w:pPr>
              <w:autoSpaceDE w:val="0"/>
              <w:autoSpaceDN w:val="0"/>
              <w:spacing w:after="0" w:line="240" w:lineRule="auto"/>
              <w:rPr>
                <w:rFonts w:ascii="Tahoma" w:hAnsi="Tahoma" w:cs="Tahoma"/>
                <w:sz w:val="20"/>
                <w:szCs w:val="20"/>
                <w:lang w:val="en-GB"/>
              </w:rPr>
            </w:pPr>
            <w:r>
              <w:rPr>
                <w:rFonts w:ascii="Tahoma" w:hAnsi="Tahoma" w:cs="Tahoma"/>
                <w:sz w:val="20"/>
                <w:szCs w:val="20"/>
                <w:lang w:val="en-GB"/>
              </w:rPr>
              <w:t xml:space="preserve">- </w:t>
            </w:r>
            <w:r w:rsidRPr="00C10143">
              <w:rPr>
                <w:rFonts w:ascii="Tahoma" w:hAnsi="Tahoma" w:cs="Tahoma"/>
                <w:sz w:val="20"/>
                <w:szCs w:val="20"/>
                <w:lang w:val="en-GB"/>
              </w:rPr>
              <w:t>finalising the thesis an</w:t>
            </w:r>
            <w:r>
              <w:rPr>
                <w:rFonts w:ascii="Tahoma" w:hAnsi="Tahoma" w:cs="Tahoma"/>
                <w:sz w:val="20"/>
                <w:szCs w:val="20"/>
                <w:lang w:val="en-GB"/>
              </w:rPr>
              <w:t>d drafting information material.</w:t>
            </w:r>
          </w:p>
          <w:p w14:paraId="35382EFB" w14:textId="77EE4415" w:rsidR="00566B33" w:rsidRPr="002A5261" w:rsidRDefault="00C10143" w:rsidP="00CD0507">
            <w:pPr>
              <w:autoSpaceDE w:val="0"/>
              <w:autoSpaceDN w:val="0"/>
              <w:spacing w:after="120" w:line="240" w:lineRule="auto"/>
              <w:rPr>
                <w:rFonts w:ascii="Tahoma" w:hAnsi="Tahoma" w:cs="Tahoma"/>
                <w:sz w:val="20"/>
                <w:szCs w:val="20"/>
                <w:lang w:val="en-GB"/>
              </w:rPr>
            </w:pPr>
            <w:r w:rsidRPr="00C10143">
              <w:rPr>
                <w:rFonts w:ascii="Tahoma" w:hAnsi="Tahoma" w:cs="Tahoma"/>
                <w:sz w:val="20"/>
                <w:szCs w:val="20"/>
                <w:lang w:val="en-GB"/>
              </w:rPr>
              <w:t>The thesis offers a flexible way of entering the working life and a good opportunity for networking in the field.</w:t>
            </w:r>
          </w:p>
        </w:tc>
      </w:tr>
      <w:tr w:rsidR="00D03397" w:rsidRPr="00CD0507" w14:paraId="35382F01" w14:textId="77777777" w:rsidTr="00647E37">
        <w:tc>
          <w:tcPr>
            <w:tcW w:w="2093" w:type="dxa"/>
          </w:tcPr>
          <w:p w14:paraId="35382EFD"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Alternative studies</w:t>
            </w:r>
          </w:p>
          <w:p w14:paraId="35382EFE" w14:textId="77777777" w:rsidR="00D03397" w:rsidRPr="002A5261" w:rsidRDefault="00D03397" w:rsidP="00D03397">
            <w:pPr>
              <w:spacing w:before="120" w:after="120"/>
              <w:rPr>
                <w:rFonts w:ascii="Tahoma" w:hAnsi="Tahoma" w:cs="Tahoma"/>
                <w:sz w:val="20"/>
                <w:szCs w:val="20"/>
                <w:lang w:val="en-GB"/>
              </w:rPr>
            </w:pPr>
          </w:p>
        </w:tc>
        <w:tc>
          <w:tcPr>
            <w:tcW w:w="1134" w:type="dxa"/>
          </w:tcPr>
          <w:p w14:paraId="35382EFF"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10 </w:t>
            </w:r>
            <w:proofErr w:type="spellStart"/>
            <w:r w:rsidRPr="002A5261">
              <w:rPr>
                <w:rFonts w:ascii="Tahoma" w:hAnsi="Tahoma" w:cs="Tahoma"/>
                <w:sz w:val="20"/>
                <w:szCs w:val="20"/>
                <w:lang w:val="en-GB"/>
              </w:rPr>
              <w:t>cr</w:t>
            </w:r>
            <w:proofErr w:type="spellEnd"/>
          </w:p>
        </w:tc>
        <w:tc>
          <w:tcPr>
            <w:tcW w:w="6551" w:type="dxa"/>
          </w:tcPr>
          <w:p w14:paraId="35382F00" w14:textId="76CDC465" w:rsidR="00C10143" w:rsidRPr="00C10143" w:rsidRDefault="00935BD8" w:rsidP="00D03397">
            <w:pPr>
              <w:autoSpaceDE w:val="0"/>
              <w:autoSpaceDN w:val="0"/>
              <w:spacing w:before="120" w:after="120" w:line="240" w:lineRule="auto"/>
              <w:rPr>
                <w:rFonts w:ascii="Tahoma" w:hAnsi="Tahoma" w:cs="Tahoma"/>
                <w:sz w:val="20"/>
                <w:szCs w:val="20"/>
                <w:lang w:val="en-GB"/>
              </w:rPr>
            </w:pPr>
            <w:r w:rsidRPr="002A5261">
              <w:rPr>
                <w:rFonts w:ascii="Tahoma" w:hAnsi="Tahoma" w:cs="Tahoma"/>
                <w:sz w:val="20"/>
                <w:szCs w:val="20"/>
                <w:lang w:val="en-GB"/>
              </w:rPr>
              <w:t xml:space="preserve">Alternative studies direct and support the development of the student’s expertise according to his or her interests. The student can choose courses from joint study modules at </w:t>
            </w:r>
            <w:r w:rsidR="00CC04DD">
              <w:rPr>
                <w:rFonts w:ascii="Tahoma" w:hAnsi="Tahoma" w:cs="Tahoma"/>
                <w:sz w:val="20"/>
                <w:szCs w:val="20"/>
                <w:lang w:val="en-GB"/>
              </w:rPr>
              <w:t xml:space="preserve">Savonia UAS or courses that </w:t>
            </w:r>
            <w:proofErr w:type="gramStart"/>
            <w:r w:rsidR="00CC04DD">
              <w:rPr>
                <w:rFonts w:ascii="Tahoma" w:hAnsi="Tahoma" w:cs="Tahoma"/>
                <w:sz w:val="20"/>
                <w:szCs w:val="20"/>
                <w:lang w:val="en-GB"/>
              </w:rPr>
              <w:t xml:space="preserve">are </w:t>
            </w:r>
            <w:r w:rsidRPr="002A5261">
              <w:rPr>
                <w:rFonts w:ascii="Tahoma" w:hAnsi="Tahoma" w:cs="Tahoma"/>
                <w:sz w:val="20"/>
                <w:szCs w:val="20"/>
                <w:lang w:val="en-GB"/>
              </w:rPr>
              <w:t>arranged</w:t>
            </w:r>
            <w:proofErr w:type="gramEnd"/>
            <w:r w:rsidRPr="002A5261">
              <w:rPr>
                <w:rFonts w:ascii="Tahoma" w:hAnsi="Tahoma" w:cs="Tahoma"/>
                <w:sz w:val="20"/>
                <w:szCs w:val="20"/>
                <w:lang w:val="en-GB"/>
              </w:rPr>
              <w:t xml:space="preserve"> by other faculties at Savonia UAS or by other schools or universities. The studies arranged elsewhere have to correspond to the level of studies in higher education.</w:t>
            </w:r>
          </w:p>
        </w:tc>
      </w:tr>
      <w:tr w:rsidR="00D03397" w:rsidRPr="009967A7" w14:paraId="35382F05" w14:textId="77777777" w:rsidTr="00647E37">
        <w:tc>
          <w:tcPr>
            <w:tcW w:w="2093" w:type="dxa"/>
          </w:tcPr>
          <w:p w14:paraId="35382F02"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Total</w:t>
            </w:r>
          </w:p>
        </w:tc>
        <w:tc>
          <w:tcPr>
            <w:tcW w:w="1134" w:type="dxa"/>
          </w:tcPr>
          <w:p w14:paraId="35382F03"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210 </w:t>
            </w:r>
            <w:proofErr w:type="spellStart"/>
            <w:r w:rsidRPr="002A5261">
              <w:rPr>
                <w:rFonts w:ascii="Tahoma" w:hAnsi="Tahoma" w:cs="Tahoma"/>
                <w:sz w:val="20"/>
                <w:szCs w:val="20"/>
                <w:lang w:val="en-GB"/>
              </w:rPr>
              <w:t>cr</w:t>
            </w:r>
            <w:proofErr w:type="spellEnd"/>
          </w:p>
        </w:tc>
        <w:tc>
          <w:tcPr>
            <w:tcW w:w="6551" w:type="dxa"/>
          </w:tcPr>
          <w:p w14:paraId="35382F04" w14:textId="77777777" w:rsidR="00D03397" w:rsidRPr="002A5261" w:rsidRDefault="00D03397" w:rsidP="00D03397">
            <w:pPr>
              <w:spacing w:before="120" w:after="120"/>
              <w:rPr>
                <w:rFonts w:ascii="Tahoma" w:hAnsi="Tahoma" w:cs="Tahoma"/>
                <w:sz w:val="20"/>
                <w:szCs w:val="20"/>
                <w:lang w:val="en-GB"/>
              </w:rPr>
            </w:pPr>
          </w:p>
        </w:tc>
      </w:tr>
    </w:tbl>
    <w:p w14:paraId="35382F06" w14:textId="77777777" w:rsidR="00D03397" w:rsidRDefault="00D03397"/>
    <w:sectPr w:rsidR="00D033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2588"/>
    <w:multiLevelType w:val="hybridMultilevel"/>
    <w:tmpl w:val="E918F26A"/>
    <w:lvl w:ilvl="0" w:tplc="295027B6">
      <w:start w:val="210"/>
      <w:numFmt w:val="bullet"/>
      <w:lvlText w:val="-"/>
      <w:lvlJc w:val="left"/>
      <w:pPr>
        <w:ind w:left="720" w:hanging="360"/>
      </w:pPr>
      <w:rPr>
        <w:rFonts w:ascii="Tahoma" w:eastAsiaTheme="minorEastAsi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7C32E9"/>
    <w:multiLevelType w:val="hybridMultilevel"/>
    <w:tmpl w:val="66066118"/>
    <w:lvl w:ilvl="0" w:tplc="71FA1F70">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9577726"/>
    <w:multiLevelType w:val="hybridMultilevel"/>
    <w:tmpl w:val="7FA6A2E8"/>
    <w:lvl w:ilvl="0" w:tplc="641054F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47C6195"/>
    <w:multiLevelType w:val="hybridMultilevel"/>
    <w:tmpl w:val="FA2AA24C"/>
    <w:lvl w:ilvl="0" w:tplc="D3666794">
      <w:start w:val="15"/>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97"/>
    <w:rsid w:val="001A00F6"/>
    <w:rsid w:val="001C430C"/>
    <w:rsid w:val="002A382D"/>
    <w:rsid w:val="002A5261"/>
    <w:rsid w:val="00307F79"/>
    <w:rsid w:val="00402860"/>
    <w:rsid w:val="00566B33"/>
    <w:rsid w:val="005B5003"/>
    <w:rsid w:val="005F242A"/>
    <w:rsid w:val="007F6661"/>
    <w:rsid w:val="008434E0"/>
    <w:rsid w:val="00921E00"/>
    <w:rsid w:val="00935BD8"/>
    <w:rsid w:val="009867D5"/>
    <w:rsid w:val="00B528B7"/>
    <w:rsid w:val="00BE74DF"/>
    <w:rsid w:val="00C10143"/>
    <w:rsid w:val="00CC04DD"/>
    <w:rsid w:val="00CD0507"/>
    <w:rsid w:val="00CD1E3F"/>
    <w:rsid w:val="00CD4A0A"/>
    <w:rsid w:val="00D03397"/>
    <w:rsid w:val="00D91824"/>
    <w:rsid w:val="00D92655"/>
    <w:rsid w:val="00FF62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2EE2"/>
  <w15:docId w15:val="{2CF5DDA4-675E-4586-BE2E-9FEB8FB8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3397"/>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3397"/>
    <w:pPr>
      <w:ind w:left="720"/>
      <w:contextualSpacing/>
    </w:pPr>
  </w:style>
  <w:style w:type="paragraph" w:customStyle="1" w:styleId="Default">
    <w:name w:val="Default"/>
    <w:rsid w:val="00D03397"/>
    <w:pPr>
      <w:autoSpaceDE w:val="0"/>
      <w:autoSpaceDN w:val="0"/>
      <w:adjustRightInd w:val="0"/>
      <w:spacing w:after="0" w:line="240" w:lineRule="auto"/>
    </w:pPr>
    <w:rPr>
      <w:rFonts w:ascii="Calibri" w:eastAsia="Calibri" w:hAnsi="Calibri" w:cs="Calibri"/>
      <w:color w:val="000000"/>
      <w:sz w:val="24"/>
      <w:szCs w:val="24"/>
      <w:lang w:eastAsia="fi-FI"/>
    </w:rPr>
  </w:style>
  <w:style w:type="character" w:styleId="Kommentinviite">
    <w:name w:val="annotation reference"/>
    <w:basedOn w:val="Kappaleenoletusfontti"/>
    <w:uiPriority w:val="99"/>
    <w:semiHidden/>
    <w:unhideWhenUsed/>
    <w:rsid w:val="001C430C"/>
    <w:rPr>
      <w:sz w:val="16"/>
      <w:szCs w:val="16"/>
    </w:rPr>
  </w:style>
  <w:style w:type="paragraph" w:styleId="Kommentinteksti">
    <w:name w:val="annotation text"/>
    <w:basedOn w:val="Normaali"/>
    <w:link w:val="KommentintekstiChar"/>
    <w:uiPriority w:val="99"/>
    <w:semiHidden/>
    <w:unhideWhenUsed/>
    <w:rsid w:val="001C430C"/>
    <w:pPr>
      <w:spacing w:line="240" w:lineRule="auto"/>
    </w:pPr>
    <w:rPr>
      <w:rFonts w:eastAsiaTheme="minorHAnsi"/>
      <w:sz w:val="20"/>
      <w:szCs w:val="20"/>
      <w:lang w:eastAsia="en-US"/>
    </w:rPr>
  </w:style>
  <w:style w:type="character" w:customStyle="1" w:styleId="KommentintekstiChar">
    <w:name w:val="Kommentin teksti Char"/>
    <w:basedOn w:val="Kappaleenoletusfontti"/>
    <w:link w:val="Kommentinteksti"/>
    <w:uiPriority w:val="99"/>
    <w:semiHidden/>
    <w:rsid w:val="001C430C"/>
    <w:rPr>
      <w:sz w:val="20"/>
      <w:szCs w:val="20"/>
    </w:rPr>
  </w:style>
  <w:style w:type="paragraph" w:styleId="Seliteteksti">
    <w:name w:val="Balloon Text"/>
    <w:basedOn w:val="Normaali"/>
    <w:link w:val="SelitetekstiChar"/>
    <w:uiPriority w:val="99"/>
    <w:semiHidden/>
    <w:unhideWhenUsed/>
    <w:rsid w:val="001C430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C430C"/>
    <w:rPr>
      <w:rFonts w:ascii="Tahoma" w:eastAsiaTheme="minorEastAsi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5235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Kopeli</dc:creator>
  <cp:lastModifiedBy>Marja Kopeli</cp:lastModifiedBy>
  <cp:revision>3</cp:revision>
  <dcterms:created xsi:type="dcterms:W3CDTF">2019-08-30T09:27:00Z</dcterms:created>
  <dcterms:modified xsi:type="dcterms:W3CDTF">2019-08-30T09:32:00Z</dcterms:modified>
</cp:coreProperties>
</file>