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4F" w:rsidRDefault="004A2A4F">
      <w:r>
        <w:t>TYKO18SY_1</w:t>
      </w:r>
      <w:bookmarkStart w:id="0" w:name="_GoBack"/>
      <w:bookmarkEnd w:id="0"/>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64"/>
        <w:gridCol w:w="6656"/>
      </w:tblGrid>
      <w:tr w:rsidR="004A2A4F" w:rsidTr="00291EDD">
        <w:tc>
          <w:tcPr>
            <w:tcW w:w="2864" w:type="dxa"/>
            <w:shd w:val="clear" w:color="auto" w:fill="31A3B5"/>
          </w:tcPr>
          <w:p w:rsidR="004A2A4F" w:rsidRPr="004A2A4F" w:rsidRDefault="004A2A4F" w:rsidP="0099206A">
            <w:pPr>
              <w:pStyle w:val="Kansilehdenotsikontarkenne"/>
              <w:rPr>
                <w:rFonts w:asciiTheme="minorHAnsi" w:hAnsiTheme="minorHAnsi" w:cstheme="minorHAnsi"/>
                <w:color w:val="FFC000" w:themeColor="accent4"/>
                <w:sz w:val="24"/>
              </w:rPr>
            </w:pPr>
            <w:r w:rsidRPr="004A2A4F">
              <w:rPr>
                <w:rFonts w:asciiTheme="minorHAnsi" w:hAnsiTheme="minorHAnsi" w:cstheme="minorHAnsi"/>
                <w:sz w:val="24"/>
              </w:rPr>
              <w:t>Osaamisen alue</w:t>
            </w:r>
          </w:p>
        </w:tc>
        <w:tc>
          <w:tcPr>
            <w:tcW w:w="6656" w:type="dxa"/>
            <w:shd w:val="clear" w:color="auto" w:fill="31A3B5"/>
          </w:tcPr>
          <w:p w:rsidR="004A2A4F" w:rsidRPr="004A2A4F" w:rsidRDefault="004A2A4F" w:rsidP="0099206A">
            <w:pPr>
              <w:pStyle w:val="Kansilehdenotsikontarkenne"/>
              <w:rPr>
                <w:rFonts w:asciiTheme="minorHAnsi" w:hAnsiTheme="minorHAnsi" w:cstheme="minorHAnsi"/>
                <w:color w:val="FFC000" w:themeColor="accent4"/>
                <w:sz w:val="24"/>
              </w:rPr>
            </w:pPr>
            <w:r w:rsidRPr="004A2A4F">
              <w:rPr>
                <w:rFonts w:asciiTheme="minorHAnsi" w:hAnsiTheme="minorHAnsi" w:cstheme="minorHAnsi"/>
                <w:sz w:val="24"/>
              </w:rPr>
              <w:t>Osaaminen tasolla 7</w:t>
            </w:r>
          </w:p>
        </w:tc>
      </w:tr>
      <w:tr w:rsidR="004A2A4F" w:rsidRPr="004D78DF" w:rsidTr="00291EDD">
        <w:trPr>
          <w:trHeight w:val="1197"/>
        </w:trPr>
        <w:tc>
          <w:tcPr>
            <w:tcW w:w="2864" w:type="dxa"/>
          </w:tcPr>
          <w:p w:rsidR="004A2A4F" w:rsidRPr="004A2A4F" w:rsidRDefault="004A2A4F" w:rsidP="0099206A">
            <w:pPr>
              <w:rPr>
                <w:rFonts w:asciiTheme="minorHAnsi" w:hAnsiTheme="minorHAnsi" w:cstheme="minorHAnsi"/>
                <w:b/>
              </w:rPr>
            </w:pPr>
            <w:r w:rsidRPr="004A2A4F">
              <w:rPr>
                <w:rFonts w:asciiTheme="minorHAnsi" w:hAnsiTheme="minorHAnsi" w:cstheme="minorHAnsi"/>
                <w:b/>
              </w:rPr>
              <w:t>Tieto</w:t>
            </w:r>
          </w:p>
        </w:tc>
        <w:tc>
          <w:tcPr>
            <w:tcW w:w="6656" w:type="dxa"/>
          </w:tcPr>
          <w:p w:rsidR="004A2A4F" w:rsidRPr="004A2A4F" w:rsidRDefault="004A2A4F" w:rsidP="0099206A">
            <w:pPr>
              <w:spacing w:before="120" w:after="120"/>
              <w:rPr>
                <w:rFonts w:asciiTheme="minorHAnsi" w:hAnsiTheme="minorHAnsi" w:cstheme="minorHAnsi"/>
              </w:rPr>
            </w:pPr>
            <w:r w:rsidRPr="004A2A4F">
              <w:rPr>
                <w:rFonts w:asciiTheme="minorHAnsi" w:hAnsiTheme="minorHAnsi" w:cstheme="minorHAnsi"/>
              </w:rPr>
              <w:t>Hyvinvointikoordinaattori hallitsee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4A2A4F" w:rsidRPr="004D78DF" w:rsidTr="00291EDD">
        <w:tc>
          <w:tcPr>
            <w:tcW w:w="2864" w:type="dxa"/>
          </w:tcPr>
          <w:p w:rsidR="004A2A4F" w:rsidRPr="004A2A4F" w:rsidRDefault="004A2A4F" w:rsidP="0099206A">
            <w:pPr>
              <w:spacing w:after="120"/>
              <w:rPr>
                <w:rFonts w:asciiTheme="minorHAnsi" w:hAnsiTheme="minorHAnsi" w:cstheme="minorHAnsi"/>
                <w:b/>
              </w:rPr>
            </w:pPr>
            <w:r w:rsidRPr="004A2A4F">
              <w:rPr>
                <w:rFonts w:asciiTheme="minorHAnsi" w:hAnsiTheme="minorHAnsi" w:cstheme="minorHAnsi"/>
                <w:b/>
              </w:rPr>
              <w:t xml:space="preserve">Työskentelytapa ja soveltaminen </w:t>
            </w:r>
            <w:r w:rsidRPr="004A2A4F">
              <w:rPr>
                <w:rFonts w:asciiTheme="minorHAnsi" w:hAnsiTheme="minorHAnsi" w:cstheme="minorHAnsi"/>
                <w:b/>
              </w:rPr>
              <w:br/>
              <w:t>(taito)</w:t>
            </w:r>
          </w:p>
        </w:tc>
        <w:tc>
          <w:tcPr>
            <w:tcW w:w="6656" w:type="dxa"/>
          </w:tcPr>
          <w:p w:rsidR="004A2A4F" w:rsidRPr="004A2A4F" w:rsidRDefault="004A2A4F" w:rsidP="0099206A">
            <w:pPr>
              <w:spacing w:before="120" w:after="120"/>
              <w:rPr>
                <w:rFonts w:asciiTheme="minorHAnsi" w:hAnsiTheme="minorHAnsi" w:cstheme="minorHAnsi"/>
              </w:rPr>
            </w:pPr>
            <w:r w:rsidRPr="004A2A4F">
              <w:rPr>
                <w:rFonts w:asciiTheme="minorHAnsi" w:hAnsiTheme="minorHAnsi" w:cstheme="minorHAnsi"/>
              </w:rPr>
              <w:t>Hyvinvointikoordinaattori kykenee ratkaisemaan vaativia ongelmia tutkimus- ja/ tai innovaatiotoiminnassa, jossa kehitetään uusia tietoja ja menettelyjä sekä sovelletaan ja yhdistetään eri alojen tietoja.</w:t>
            </w:r>
          </w:p>
        </w:tc>
      </w:tr>
      <w:tr w:rsidR="004A2A4F" w:rsidTr="00291EDD">
        <w:tc>
          <w:tcPr>
            <w:tcW w:w="2864" w:type="dxa"/>
          </w:tcPr>
          <w:p w:rsidR="004A2A4F" w:rsidRPr="004A2A4F" w:rsidRDefault="004A2A4F" w:rsidP="0099206A">
            <w:pPr>
              <w:rPr>
                <w:rFonts w:asciiTheme="minorHAnsi" w:hAnsiTheme="minorHAnsi" w:cstheme="minorHAnsi"/>
                <w:b/>
              </w:rPr>
            </w:pPr>
            <w:r w:rsidRPr="004A2A4F">
              <w:rPr>
                <w:rFonts w:asciiTheme="minorHAnsi" w:hAnsiTheme="minorHAnsi" w:cstheme="minorHAnsi"/>
                <w:b/>
              </w:rPr>
              <w:t xml:space="preserve">Vastuu, </w:t>
            </w:r>
            <w:r w:rsidRPr="004A2A4F">
              <w:rPr>
                <w:rFonts w:asciiTheme="minorHAnsi" w:hAnsiTheme="minorHAnsi" w:cstheme="minorHAnsi"/>
                <w:b/>
              </w:rPr>
              <w:br/>
              <w:t xml:space="preserve">johtaminen, </w:t>
            </w:r>
            <w:r w:rsidRPr="004A2A4F">
              <w:rPr>
                <w:rFonts w:asciiTheme="minorHAnsi" w:hAnsiTheme="minorHAnsi" w:cstheme="minorHAnsi"/>
                <w:b/>
              </w:rPr>
              <w:br/>
              <w:t>yrittäjyys</w:t>
            </w:r>
          </w:p>
        </w:tc>
        <w:tc>
          <w:tcPr>
            <w:tcW w:w="6656" w:type="dxa"/>
          </w:tcPr>
          <w:p w:rsidR="004A2A4F" w:rsidRPr="004A2A4F" w:rsidRDefault="004A2A4F" w:rsidP="0099206A">
            <w:pPr>
              <w:spacing w:before="120" w:after="120"/>
              <w:rPr>
                <w:rFonts w:asciiTheme="minorHAnsi" w:hAnsiTheme="minorHAnsi" w:cstheme="minorHAnsi"/>
              </w:rPr>
            </w:pPr>
            <w:r w:rsidRPr="004A2A4F">
              <w:rPr>
                <w:rFonts w:asciiTheme="minorHAnsi" w:hAnsiTheme="minorHAnsi" w:cstheme="minorHAnsi"/>
              </w:rPr>
              <w:t>Hyvinvointikoordinaattori kykenee työskentelemään itsenäisesti alan vaativissa asiantuntijatehtävissä tai yrittäjänä. Kykenee johtamaan ja kehittämään monimutkaisia, ennakoimattomia ja uusia strategisia lähestymistapoja.  Kykenee johtamaan asioita ja ihmisiä.</w:t>
            </w:r>
          </w:p>
        </w:tc>
      </w:tr>
      <w:tr w:rsidR="004A2A4F" w:rsidRPr="004D78DF" w:rsidTr="00291EDD">
        <w:tc>
          <w:tcPr>
            <w:tcW w:w="2864" w:type="dxa"/>
          </w:tcPr>
          <w:p w:rsidR="004A2A4F" w:rsidRPr="004A2A4F" w:rsidRDefault="004A2A4F" w:rsidP="0099206A">
            <w:pPr>
              <w:rPr>
                <w:rFonts w:asciiTheme="minorHAnsi" w:hAnsiTheme="minorHAnsi" w:cstheme="minorHAnsi"/>
                <w:b/>
              </w:rPr>
            </w:pPr>
            <w:r w:rsidRPr="004A2A4F">
              <w:rPr>
                <w:rFonts w:asciiTheme="minorHAnsi" w:hAnsiTheme="minorHAnsi" w:cstheme="minorHAnsi"/>
                <w:b/>
              </w:rPr>
              <w:t>Arviointi</w:t>
            </w:r>
          </w:p>
        </w:tc>
        <w:tc>
          <w:tcPr>
            <w:tcW w:w="6656" w:type="dxa"/>
          </w:tcPr>
          <w:p w:rsidR="004A2A4F" w:rsidRPr="004A2A4F" w:rsidRDefault="004A2A4F" w:rsidP="0099206A">
            <w:pPr>
              <w:spacing w:before="120" w:after="120"/>
              <w:rPr>
                <w:rFonts w:asciiTheme="minorHAnsi" w:hAnsiTheme="minorHAnsi" w:cstheme="minorHAnsi"/>
                <w:b/>
              </w:rPr>
            </w:pPr>
            <w:r w:rsidRPr="004A2A4F">
              <w:rPr>
                <w:rFonts w:asciiTheme="minorHAnsi" w:hAnsiTheme="minorHAnsi" w:cstheme="minorHAnsi"/>
              </w:rPr>
              <w:t>Hyvinvointikoordinaattori kykenee arvioimaan yksittäisten henkilöiden ja ryhmien toimintaa. Hän kykenee kartuttamaan oman alansa tietoja ja käytäntöjä ja vastaamaan muiden kehityksestä.</w:t>
            </w:r>
          </w:p>
        </w:tc>
      </w:tr>
      <w:tr w:rsidR="004A2A4F" w:rsidRPr="004D78DF" w:rsidTr="00291EDD">
        <w:tc>
          <w:tcPr>
            <w:tcW w:w="2864" w:type="dxa"/>
          </w:tcPr>
          <w:p w:rsidR="004A2A4F" w:rsidRPr="004A2A4F" w:rsidRDefault="004A2A4F" w:rsidP="0099206A">
            <w:pPr>
              <w:rPr>
                <w:rFonts w:asciiTheme="minorHAnsi" w:hAnsiTheme="minorHAnsi" w:cstheme="minorHAnsi"/>
                <w:b/>
                <w:lang w:val="en-US"/>
              </w:rPr>
            </w:pPr>
            <w:proofErr w:type="spellStart"/>
            <w:r w:rsidRPr="004A2A4F">
              <w:rPr>
                <w:rFonts w:asciiTheme="minorHAnsi" w:hAnsiTheme="minorHAnsi" w:cstheme="minorHAnsi"/>
                <w:b/>
                <w:lang w:val="en-US"/>
              </w:rPr>
              <w:t>Elinikäisen</w:t>
            </w:r>
            <w:proofErr w:type="spellEnd"/>
            <w:r w:rsidRPr="004A2A4F">
              <w:rPr>
                <w:rFonts w:asciiTheme="minorHAnsi" w:hAnsiTheme="minorHAnsi" w:cstheme="minorHAnsi"/>
                <w:b/>
                <w:lang w:val="en-US"/>
              </w:rPr>
              <w:t xml:space="preserve"> </w:t>
            </w:r>
            <w:r w:rsidRPr="004A2A4F">
              <w:rPr>
                <w:rFonts w:asciiTheme="minorHAnsi" w:hAnsiTheme="minorHAnsi" w:cstheme="minorHAnsi"/>
                <w:b/>
                <w:lang w:val="en-US"/>
              </w:rPr>
              <w:br/>
            </w:r>
            <w:proofErr w:type="spellStart"/>
            <w:r w:rsidRPr="004A2A4F">
              <w:rPr>
                <w:rFonts w:asciiTheme="minorHAnsi" w:hAnsiTheme="minorHAnsi" w:cstheme="minorHAnsi"/>
                <w:b/>
                <w:lang w:val="en-US"/>
              </w:rPr>
              <w:t>oppimisen</w:t>
            </w:r>
            <w:proofErr w:type="spellEnd"/>
            <w:r w:rsidRPr="004A2A4F">
              <w:rPr>
                <w:rFonts w:asciiTheme="minorHAnsi" w:hAnsiTheme="minorHAnsi" w:cstheme="minorHAnsi"/>
                <w:b/>
                <w:lang w:val="en-US"/>
              </w:rPr>
              <w:t xml:space="preserve"> </w:t>
            </w:r>
            <w:r w:rsidRPr="004A2A4F">
              <w:rPr>
                <w:rFonts w:asciiTheme="minorHAnsi" w:hAnsiTheme="minorHAnsi" w:cstheme="minorHAnsi"/>
                <w:b/>
                <w:lang w:val="en-US"/>
              </w:rPr>
              <w:br/>
            </w:r>
            <w:proofErr w:type="spellStart"/>
            <w:r w:rsidRPr="004A2A4F">
              <w:rPr>
                <w:rFonts w:asciiTheme="minorHAnsi" w:hAnsiTheme="minorHAnsi" w:cstheme="minorHAnsi"/>
                <w:b/>
                <w:lang w:val="en-US"/>
              </w:rPr>
              <w:t>avaintaidot</w:t>
            </w:r>
            <w:proofErr w:type="spellEnd"/>
          </w:p>
        </w:tc>
        <w:tc>
          <w:tcPr>
            <w:tcW w:w="6656" w:type="dxa"/>
          </w:tcPr>
          <w:p w:rsidR="004A2A4F" w:rsidRPr="004A2A4F" w:rsidRDefault="004A2A4F" w:rsidP="0099206A">
            <w:pPr>
              <w:spacing w:before="120" w:after="120"/>
              <w:rPr>
                <w:rFonts w:asciiTheme="minorHAnsi" w:hAnsiTheme="minorHAnsi" w:cstheme="minorHAnsi"/>
              </w:rPr>
            </w:pPr>
            <w:r w:rsidRPr="004A2A4F">
              <w:rPr>
                <w:rFonts w:asciiTheme="minorHAnsi" w:hAnsiTheme="minorHAnsi" w:cstheme="minorHAnsi"/>
              </w:rPr>
              <w:t>Hyvinvointikoordinaattori omaa valmiudet jatkuvaan oppimiseen. Hän osaa viestiä hyvin suullisesti ja kirjallisesti sekä alan että alan ulkopuoliselle yleisölle.  Hän kykenee vaativaan kansainväliseen viestintään ja vuorovaikutukseen toisella kotimaisella ja vähintään yhdellä vieraalla kielellä.</w:t>
            </w:r>
          </w:p>
        </w:tc>
      </w:tr>
    </w:tbl>
    <w:p w:rsidR="004A2A4F" w:rsidRDefault="004A2A4F"/>
    <w:p w:rsidR="004A2A4F" w:rsidRDefault="004A2A4F">
      <w:r>
        <w:t xml:space="preserve">TYKO18SY_2 </w:t>
      </w:r>
    </w:p>
    <w:tbl>
      <w:tblPr>
        <w:tblStyle w:val="TaulukkoRuudukko"/>
        <w:tblW w:w="952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864"/>
        <w:gridCol w:w="6662"/>
      </w:tblGrid>
      <w:tr w:rsidR="004A2A4F" w:rsidRPr="004A2A4F" w:rsidTr="00291EDD">
        <w:tc>
          <w:tcPr>
            <w:tcW w:w="2864" w:type="dxa"/>
            <w:shd w:val="clear" w:color="auto" w:fill="31A3B5"/>
          </w:tcPr>
          <w:p w:rsidR="004A2A4F" w:rsidRPr="004A2A4F" w:rsidRDefault="004A2A4F" w:rsidP="0099206A">
            <w:pPr>
              <w:pStyle w:val="Kansilehdenotsikontarkenne"/>
              <w:rPr>
                <w:rFonts w:asciiTheme="minorHAnsi" w:hAnsiTheme="minorHAnsi" w:cstheme="minorHAnsi"/>
                <w:sz w:val="24"/>
              </w:rPr>
            </w:pPr>
            <w:r w:rsidRPr="004A2A4F">
              <w:rPr>
                <w:rFonts w:asciiTheme="minorHAnsi" w:hAnsiTheme="minorHAnsi" w:cstheme="minorHAnsi"/>
                <w:sz w:val="24"/>
              </w:rPr>
              <w:t>Yleiset kompetenssit</w:t>
            </w:r>
            <w:r w:rsidRPr="004A2A4F">
              <w:rPr>
                <w:rFonts w:asciiTheme="minorHAnsi" w:hAnsiTheme="minorHAnsi" w:cstheme="minorHAnsi"/>
                <w:sz w:val="24"/>
              </w:rPr>
              <w:br/>
              <w:t>(</w:t>
            </w:r>
            <w:proofErr w:type="spellStart"/>
            <w:r w:rsidRPr="004A2A4F">
              <w:rPr>
                <w:rFonts w:asciiTheme="minorHAnsi" w:hAnsiTheme="minorHAnsi" w:cstheme="minorHAnsi"/>
                <w:sz w:val="24"/>
              </w:rPr>
              <w:t>Generic</w:t>
            </w:r>
            <w:proofErr w:type="spellEnd"/>
            <w:r w:rsidRPr="004A2A4F">
              <w:rPr>
                <w:rFonts w:asciiTheme="minorHAnsi" w:hAnsiTheme="minorHAnsi" w:cstheme="minorHAnsi"/>
                <w:sz w:val="24"/>
              </w:rPr>
              <w:t xml:space="preserve"> </w:t>
            </w:r>
            <w:proofErr w:type="spellStart"/>
            <w:r w:rsidRPr="004A2A4F">
              <w:rPr>
                <w:rFonts w:asciiTheme="minorHAnsi" w:hAnsiTheme="minorHAnsi" w:cstheme="minorHAnsi"/>
                <w:sz w:val="24"/>
              </w:rPr>
              <w:t>competences</w:t>
            </w:r>
            <w:proofErr w:type="spellEnd"/>
            <w:r w:rsidRPr="004A2A4F">
              <w:rPr>
                <w:rFonts w:asciiTheme="minorHAnsi" w:hAnsiTheme="minorHAnsi" w:cstheme="minorHAnsi"/>
                <w:sz w:val="24"/>
              </w:rPr>
              <w:t>)</w:t>
            </w:r>
          </w:p>
        </w:tc>
        <w:tc>
          <w:tcPr>
            <w:tcW w:w="6662" w:type="dxa"/>
            <w:shd w:val="clear" w:color="auto" w:fill="31A3B5"/>
          </w:tcPr>
          <w:p w:rsidR="004A2A4F" w:rsidRPr="004A2A4F" w:rsidRDefault="004A2A4F" w:rsidP="0099206A">
            <w:pPr>
              <w:pStyle w:val="Kansilehdenotsikontarkenne"/>
              <w:rPr>
                <w:rFonts w:asciiTheme="minorHAnsi" w:hAnsiTheme="minorHAnsi" w:cstheme="minorHAnsi"/>
                <w:color w:val="FFC000" w:themeColor="accent4"/>
                <w:sz w:val="24"/>
                <w:lang w:val="en-US"/>
              </w:rPr>
            </w:pPr>
            <w:proofErr w:type="spellStart"/>
            <w:r w:rsidRPr="004A2A4F">
              <w:rPr>
                <w:rFonts w:asciiTheme="minorHAnsi" w:hAnsiTheme="minorHAnsi" w:cstheme="minorHAnsi"/>
                <w:sz w:val="24"/>
                <w:lang w:val="en-US"/>
              </w:rPr>
              <w:t>Osaamisen</w:t>
            </w:r>
            <w:proofErr w:type="spellEnd"/>
            <w:r w:rsidRPr="004A2A4F">
              <w:rPr>
                <w:rFonts w:asciiTheme="minorHAnsi" w:hAnsiTheme="minorHAnsi" w:cstheme="minorHAnsi"/>
                <w:sz w:val="24"/>
                <w:lang w:val="en-US"/>
              </w:rPr>
              <w:t xml:space="preserve"> </w:t>
            </w:r>
            <w:proofErr w:type="spellStart"/>
            <w:r w:rsidRPr="004A2A4F">
              <w:rPr>
                <w:rFonts w:asciiTheme="minorHAnsi" w:hAnsiTheme="minorHAnsi" w:cstheme="minorHAnsi"/>
                <w:sz w:val="24"/>
                <w:lang w:val="en-US"/>
              </w:rPr>
              <w:t>kuvaus</w:t>
            </w:r>
            <w:proofErr w:type="spellEnd"/>
            <w:r w:rsidRPr="004A2A4F">
              <w:rPr>
                <w:rFonts w:asciiTheme="minorHAnsi" w:hAnsiTheme="minorHAnsi" w:cstheme="minorHAnsi"/>
                <w:sz w:val="24"/>
                <w:lang w:val="en-US"/>
              </w:rPr>
              <w:t xml:space="preserve"> (</w:t>
            </w:r>
            <w:proofErr w:type="spellStart"/>
            <w:r w:rsidRPr="004A2A4F">
              <w:rPr>
                <w:rFonts w:asciiTheme="minorHAnsi" w:hAnsiTheme="minorHAnsi" w:cstheme="minorHAnsi"/>
                <w:sz w:val="24"/>
                <w:lang w:val="en-US"/>
              </w:rPr>
              <w:t>taso</w:t>
            </w:r>
            <w:proofErr w:type="spellEnd"/>
            <w:r w:rsidRPr="004A2A4F">
              <w:rPr>
                <w:rFonts w:asciiTheme="minorHAnsi" w:hAnsiTheme="minorHAnsi" w:cstheme="minorHAnsi"/>
                <w:sz w:val="24"/>
                <w:lang w:val="en-US"/>
              </w:rPr>
              <w:t xml:space="preserve"> 7)</w:t>
            </w:r>
            <w:r w:rsidRPr="004A2A4F">
              <w:rPr>
                <w:rFonts w:asciiTheme="minorHAnsi" w:hAnsiTheme="minorHAnsi" w:cstheme="minorHAnsi"/>
                <w:sz w:val="24"/>
                <w:lang w:val="en-US"/>
              </w:rPr>
              <w:br/>
              <w:t>(Description of the competence)</w:t>
            </w:r>
          </w:p>
        </w:tc>
      </w:tr>
      <w:tr w:rsidR="004A2A4F" w:rsidRPr="004A2A4F" w:rsidTr="00291EDD">
        <w:tc>
          <w:tcPr>
            <w:tcW w:w="2864" w:type="dxa"/>
          </w:tcPr>
          <w:p w:rsidR="004A2A4F" w:rsidRPr="004A2A4F" w:rsidRDefault="004A2A4F" w:rsidP="0099206A">
            <w:pPr>
              <w:spacing w:before="120" w:after="120"/>
              <w:rPr>
                <w:rFonts w:asciiTheme="minorHAnsi" w:hAnsiTheme="minorHAnsi" w:cstheme="minorHAnsi"/>
              </w:rPr>
            </w:pPr>
            <w:r w:rsidRPr="004A2A4F">
              <w:rPr>
                <w:rFonts w:asciiTheme="minorHAnsi" w:hAnsiTheme="minorHAnsi" w:cstheme="minorHAnsi"/>
                <w:b/>
              </w:rPr>
              <w:t>Oppimisen taidot</w:t>
            </w:r>
            <w:r w:rsidRPr="004A2A4F">
              <w:rPr>
                <w:rFonts w:asciiTheme="minorHAnsi" w:hAnsiTheme="minorHAnsi" w:cstheme="minorHAnsi"/>
                <w:b/>
              </w:rPr>
              <w:br/>
            </w:r>
            <w:r w:rsidRPr="004A2A4F">
              <w:rPr>
                <w:rFonts w:asciiTheme="minorHAnsi" w:hAnsiTheme="minorHAnsi" w:cstheme="minorHAnsi"/>
                <w:i/>
              </w:rPr>
              <w:t xml:space="preserve">(Learning </w:t>
            </w:r>
            <w:proofErr w:type="spellStart"/>
            <w:r w:rsidRPr="004A2A4F">
              <w:rPr>
                <w:rFonts w:asciiTheme="minorHAnsi" w:hAnsiTheme="minorHAnsi" w:cstheme="minorHAnsi"/>
                <w:i/>
              </w:rPr>
              <w:t>competence</w:t>
            </w:r>
            <w:proofErr w:type="spellEnd"/>
            <w:r w:rsidRPr="004A2A4F">
              <w:rPr>
                <w:rFonts w:asciiTheme="minorHAnsi" w:hAnsiTheme="minorHAnsi" w:cstheme="minorHAnsi"/>
                <w:i/>
              </w:rPr>
              <w:t>)</w:t>
            </w:r>
          </w:p>
        </w:tc>
        <w:tc>
          <w:tcPr>
            <w:tcW w:w="6662" w:type="dxa"/>
          </w:tcPr>
          <w:p w:rsidR="004A2A4F" w:rsidRPr="004A2A4F" w:rsidRDefault="004A2A4F" w:rsidP="004A2A4F">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monipuolisesti ja tavoitteellisesti arvioida ja kehittää asiantuntijuuttaan</w:t>
            </w:r>
          </w:p>
          <w:p w:rsidR="004A2A4F" w:rsidRPr="004A2A4F" w:rsidRDefault="004A2A4F" w:rsidP="004A2A4F">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hankkia, käsitellä, tuottaa ja arvioida tietoa kriittisesti ja eri alojen näkökulmista</w:t>
            </w:r>
          </w:p>
          <w:p w:rsidR="004A2A4F" w:rsidRPr="004A2A4F" w:rsidRDefault="004A2A4F" w:rsidP="004A2A4F">
            <w:pPr>
              <w:pStyle w:val="Luettelokappale"/>
              <w:numPr>
                <w:ilvl w:val="0"/>
                <w:numId w:val="3"/>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ottamaan vastuuta yhteisöntavoitteellisesta oppimisesta</w:t>
            </w:r>
          </w:p>
        </w:tc>
      </w:tr>
      <w:tr w:rsidR="004A2A4F" w:rsidRPr="004A2A4F" w:rsidTr="00291EDD">
        <w:tc>
          <w:tcPr>
            <w:tcW w:w="2864" w:type="dxa"/>
          </w:tcPr>
          <w:p w:rsidR="004A2A4F" w:rsidRPr="004A2A4F" w:rsidRDefault="004A2A4F" w:rsidP="0099206A">
            <w:pPr>
              <w:spacing w:before="120" w:after="120"/>
              <w:rPr>
                <w:rFonts w:asciiTheme="minorHAnsi" w:hAnsiTheme="minorHAnsi" w:cstheme="minorHAnsi"/>
              </w:rPr>
            </w:pPr>
            <w:r w:rsidRPr="004A2A4F">
              <w:rPr>
                <w:rFonts w:asciiTheme="minorHAnsi" w:hAnsiTheme="minorHAnsi" w:cstheme="minorHAnsi"/>
                <w:b/>
              </w:rPr>
              <w:t>Eettinen osaaminen</w:t>
            </w:r>
            <w:r w:rsidRPr="004A2A4F">
              <w:rPr>
                <w:rFonts w:asciiTheme="minorHAnsi" w:hAnsiTheme="minorHAnsi" w:cstheme="minorHAnsi"/>
              </w:rPr>
              <w:br/>
            </w:r>
            <w:r w:rsidRPr="004A2A4F">
              <w:rPr>
                <w:rFonts w:asciiTheme="minorHAnsi" w:hAnsiTheme="minorHAnsi" w:cstheme="minorHAnsi"/>
                <w:i/>
              </w:rPr>
              <w:t>(</w:t>
            </w:r>
            <w:proofErr w:type="spellStart"/>
            <w:r w:rsidRPr="004A2A4F">
              <w:rPr>
                <w:rFonts w:asciiTheme="minorHAnsi" w:hAnsiTheme="minorHAnsi" w:cstheme="minorHAnsi"/>
                <w:i/>
              </w:rPr>
              <w:t>Ethical</w:t>
            </w:r>
            <w:proofErr w:type="spellEnd"/>
            <w:r w:rsidRPr="004A2A4F">
              <w:rPr>
                <w:rFonts w:asciiTheme="minorHAnsi" w:hAnsiTheme="minorHAnsi" w:cstheme="minorHAnsi"/>
                <w:i/>
              </w:rPr>
              <w:t xml:space="preserve"> </w:t>
            </w:r>
            <w:proofErr w:type="spellStart"/>
            <w:r w:rsidRPr="004A2A4F">
              <w:rPr>
                <w:rFonts w:asciiTheme="minorHAnsi" w:hAnsiTheme="minorHAnsi" w:cstheme="minorHAnsi"/>
                <w:i/>
              </w:rPr>
              <w:t>competence</w:t>
            </w:r>
            <w:proofErr w:type="spellEnd"/>
            <w:r w:rsidRPr="004A2A4F">
              <w:rPr>
                <w:rFonts w:asciiTheme="minorHAnsi" w:hAnsiTheme="minorHAnsi" w:cstheme="minorHAnsi"/>
                <w:i/>
              </w:rPr>
              <w:t>)</w:t>
            </w:r>
          </w:p>
        </w:tc>
        <w:tc>
          <w:tcPr>
            <w:tcW w:w="6662" w:type="dxa"/>
          </w:tcPr>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kykenee ottamaan vastuun omasta toiminnastaan ja sen seurauksista </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soveltaa alansa ammattieettisiä periaatteita asiantuntijana ja työelämän kehittäjänä </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tehdä ratkaisuja ottaen huomioon yksilön ja yhteisön</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näkökulmat</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edistää a tasa-arvoisuuden periaatteiden toteutumista työyhteisössä</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edistää kestävän kehityksen periaatteiden ja yhteiskuntavastuun toteutumista</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johtamaan yhteiskunnallisesti vaikuttavaa toimintaa eettisiin arvoihin perustuen</w:t>
            </w:r>
          </w:p>
        </w:tc>
      </w:tr>
      <w:tr w:rsidR="004A2A4F" w:rsidRPr="004A2A4F" w:rsidTr="00291EDD">
        <w:tc>
          <w:tcPr>
            <w:tcW w:w="2864" w:type="dxa"/>
          </w:tcPr>
          <w:p w:rsidR="004A2A4F" w:rsidRPr="004A2A4F" w:rsidRDefault="004A2A4F" w:rsidP="0099206A">
            <w:pPr>
              <w:spacing w:before="120" w:after="120"/>
              <w:rPr>
                <w:rFonts w:asciiTheme="minorHAnsi" w:hAnsiTheme="minorHAnsi" w:cstheme="minorHAnsi"/>
                <w:lang w:val="en-US"/>
              </w:rPr>
            </w:pPr>
            <w:proofErr w:type="spellStart"/>
            <w:r w:rsidRPr="004A2A4F">
              <w:rPr>
                <w:rFonts w:asciiTheme="minorHAnsi" w:hAnsiTheme="minorHAnsi" w:cstheme="minorHAnsi"/>
                <w:b/>
                <w:lang w:val="en-US"/>
              </w:rPr>
              <w:t>Työyhteisöosaaminen</w:t>
            </w:r>
            <w:proofErr w:type="spellEnd"/>
            <w:r w:rsidRPr="004A2A4F">
              <w:rPr>
                <w:rFonts w:asciiTheme="minorHAnsi" w:hAnsiTheme="minorHAnsi" w:cstheme="minorHAnsi"/>
                <w:lang w:val="en-US"/>
              </w:rPr>
              <w:br/>
            </w:r>
            <w:r w:rsidRPr="004A2A4F">
              <w:rPr>
                <w:rFonts w:asciiTheme="minorHAnsi" w:hAnsiTheme="minorHAnsi" w:cstheme="minorHAnsi"/>
                <w:i/>
                <w:lang w:val="en-US"/>
              </w:rPr>
              <w:t xml:space="preserve">(Working community </w:t>
            </w:r>
            <w:r w:rsidRPr="004A2A4F">
              <w:rPr>
                <w:rFonts w:asciiTheme="minorHAnsi" w:hAnsiTheme="minorHAnsi" w:cstheme="minorHAnsi"/>
                <w:i/>
                <w:lang w:val="en-US"/>
              </w:rPr>
              <w:br/>
              <w:t>competence)</w:t>
            </w:r>
          </w:p>
        </w:tc>
        <w:tc>
          <w:tcPr>
            <w:tcW w:w="6662" w:type="dxa"/>
          </w:tcPr>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kehittää työyhteisön toimintaa ja työhyvinvointia </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kehittää työelämän monialaista viestintää ja vuorovaikutusta</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soveltaa tieto- ja viestintätekniikkaa tehtävissään </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luoda verkostoja kumppanuuksia </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johtaa ja uudistaa toimintaa monimutkaisissa ja ennakoimattomissa toimintaympäristöissä </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toimimaan vaativissa asiantuntijatehtävissä, johtamistehtävissä tai yrittäjänä</w:t>
            </w:r>
          </w:p>
        </w:tc>
      </w:tr>
      <w:tr w:rsidR="004A2A4F" w:rsidRPr="004A2A4F" w:rsidTr="00291EDD">
        <w:tc>
          <w:tcPr>
            <w:tcW w:w="2864" w:type="dxa"/>
          </w:tcPr>
          <w:p w:rsidR="004A2A4F" w:rsidRPr="004A2A4F" w:rsidRDefault="004A2A4F" w:rsidP="0099206A">
            <w:pPr>
              <w:spacing w:before="120" w:after="120"/>
              <w:rPr>
                <w:rFonts w:asciiTheme="minorHAnsi" w:hAnsiTheme="minorHAnsi" w:cstheme="minorHAnsi"/>
              </w:rPr>
            </w:pPr>
            <w:r w:rsidRPr="004A2A4F">
              <w:rPr>
                <w:rFonts w:asciiTheme="minorHAnsi" w:hAnsiTheme="minorHAnsi" w:cstheme="minorHAnsi"/>
                <w:b/>
              </w:rPr>
              <w:t>Innovaatio-osaaminen</w:t>
            </w:r>
            <w:r w:rsidRPr="004A2A4F">
              <w:rPr>
                <w:rFonts w:asciiTheme="minorHAnsi" w:hAnsiTheme="minorHAnsi" w:cstheme="minorHAnsi"/>
              </w:rPr>
              <w:br/>
            </w:r>
            <w:r w:rsidRPr="004A2A4F">
              <w:rPr>
                <w:rFonts w:asciiTheme="minorHAnsi" w:hAnsiTheme="minorHAnsi" w:cstheme="minorHAnsi"/>
                <w:i/>
              </w:rPr>
              <w:t xml:space="preserve">(Innovation </w:t>
            </w:r>
            <w:r w:rsidRPr="004A2A4F">
              <w:rPr>
                <w:rFonts w:asciiTheme="minorHAnsi" w:hAnsiTheme="minorHAnsi" w:cstheme="minorHAnsi"/>
                <w:i/>
              </w:rPr>
              <w:br/>
            </w:r>
            <w:proofErr w:type="spellStart"/>
            <w:r w:rsidRPr="004A2A4F">
              <w:rPr>
                <w:rFonts w:asciiTheme="minorHAnsi" w:hAnsiTheme="minorHAnsi" w:cstheme="minorHAnsi"/>
                <w:i/>
              </w:rPr>
              <w:t>competence</w:t>
            </w:r>
            <w:proofErr w:type="spellEnd"/>
            <w:r w:rsidRPr="004A2A4F">
              <w:rPr>
                <w:rFonts w:asciiTheme="minorHAnsi" w:hAnsiTheme="minorHAnsi" w:cstheme="minorHAnsi"/>
                <w:i/>
              </w:rPr>
              <w:t>)</w:t>
            </w:r>
          </w:p>
        </w:tc>
        <w:tc>
          <w:tcPr>
            <w:tcW w:w="6662" w:type="dxa"/>
          </w:tcPr>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tuottaa uutta tietoa ja uudistaa toimintatapoja yhdistäen eri alojen osaamista </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johtaa projekteja</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johtaa tutkimus-, </w:t>
            </w:r>
            <w:proofErr w:type="spellStart"/>
            <w:r w:rsidRPr="004A2A4F">
              <w:rPr>
                <w:rFonts w:asciiTheme="minorHAnsi" w:eastAsia="Tahoma" w:hAnsiTheme="minorHAnsi" w:cstheme="minorHAnsi"/>
                <w:szCs w:val="20"/>
              </w:rPr>
              <w:t>kehittämis</w:t>
            </w:r>
            <w:proofErr w:type="spellEnd"/>
            <w:r w:rsidRPr="004A2A4F">
              <w:rPr>
                <w:rFonts w:asciiTheme="minorHAnsi" w:eastAsia="Tahoma" w:hAnsiTheme="minorHAnsi" w:cstheme="minorHAnsi"/>
                <w:szCs w:val="20"/>
              </w:rPr>
              <w:t xml:space="preserve">- ja innovaatiohankkeita sekä hallitsee tutkimus- ja kehittämistoiminnan menetelmiä </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kehittää asiakaslähtöistä, kestävää ja taloudellisesti kannattavaa toimintaa</w:t>
            </w:r>
          </w:p>
        </w:tc>
      </w:tr>
      <w:tr w:rsidR="004A2A4F" w:rsidRPr="004A2A4F" w:rsidTr="00291EDD">
        <w:tc>
          <w:tcPr>
            <w:tcW w:w="2864" w:type="dxa"/>
          </w:tcPr>
          <w:p w:rsidR="004A2A4F" w:rsidRPr="004A2A4F" w:rsidRDefault="004A2A4F" w:rsidP="0099206A">
            <w:pPr>
              <w:spacing w:before="120" w:after="120"/>
              <w:rPr>
                <w:rFonts w:asciiTheme="minorHAnsi" w:hAnsiTheme="minorHAnsi" w:cstheme="minorHAnsi"/>
              </w:rPr>
            </w:pPr>
            <w:r w:rsidRPr="004A2A4F">
              <w:rPr>
                <w:rFonts w:asciiTheme="minorHAnsi" w:hAnsiTheme="minorHAnsi" w:cstheme="minorHAnsi"/>
                <w:b/>
              </w:rPr>
              <w:t>Kansainvälisyys-osaaminen</w:t>
            </w:r>
            <w:r w:rsidRPr="004A2A4F">
              <w:rPr>
                <w:rFonts w:asciiTheme="minorHAnsi" w:hAnsiTheme="minorHAnsi" w:cstheme="minorHAnsi"/>
              </w:rPr>
              <w:br/>
            </w:r>
            <w:r w:rsidRPr="004A2A4F">
              <w:rPr>
                <w:rFonts w:asciiTheme="minorHAnsi" w:hAnsiTheme="minorHAnsi" w:cstheme="minorHAnsi"/>
                <w:i/>
              </w:rPr>
              <w:t xml:space="preserve">(International </w:t>
            </w:r>
            <w:r w:rsidRPr="004A2A4F">
              <w:rPr>
                <w:rFonts w:asciiTheme="minorHAnsi" w:hAnsiTheme="minorHAnsi" w:cstheme="minorHAnsi"/>
                <w:i/>
              </w:rPr>
              <w:br/>
            </w:r>
            <w:proofErr w:type="spellStart"/>
            <w:r w:rsidRPr="004A2A4F">
              <w:rPr>
                <w:rFonts w:asciiTheme="minorHAnsi" w:hAnsiTheme="minorHAnsi" w:cstheme="minorHAnsi"/>
                <w:i/>
              </w:rPr>
              <w:t>competence</w:t>
            </w:r>
            <w:proofErr w:type="spellEnd"/>
            <w:r w:rsidRPr="004A2A4F">
              <w:rPr>
                <w:rFonts w:asciiTheme="minorHAnsi" w:hAnsiTheme="minorHAnsi" w:cstheme="minorHAnsi"/>
                <w:i/>
              </w:rPr>
              <w:t>)</w:t>
            </w:r>
          </w:p>
        </w:tc>
        <w:tc>
          <w:tcPr>
            <w:tcW w:w="6662" w:type="dxa"/>
          </w:tcPr>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kykenee kansainväliseen viestintään työtehtävissään ja toiminnan kehittämisessä</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 xml:space="preserve">osaa toimia kansainvälisissä toimintaympäristöissä </w:t>
            </w:r>
          </w:p>
          <w:p w:rsidR="004A2A4F" w:rsidRPr="004A2A4F" w:rsidRDefault="004A2A4F" w:rsidP="004A2A4F">
            <w:pPr>
              <w:pStyle w:val="Luettelokappale"/>
              <w:numPr>
                <w:ilvl w:val="0"/>
                <w:numId w:val="4"/>
              </w:numPr>
              <w:spacing w:line="240" w:lineRule="auto"/>
              <w:rPr>
                <w:rFonts w:asciiTheme="minorHAnsi" w:eastAsia="Tahoma" w:hAnsiTheme="minorHAnsi" w:cstheme="minorHAnsi"/>
                <w:szCs w:val="20"/>
              </w:rPr>
            </w:pPr>
            <w:r w:rsidRPr="004A2A4F">
              <w:rPr>
                <w:rFonts w:asciiTheme="minorHAnsi" w:eastAsia="Tahoma" w:hAnsiTheme="minorHAnsi" w:cstheme="minorHAnsi"/>
                <w:szCs w:val="20"/>
              </w:rPr>
              <w:t>osaa ennakoida kansainvälisyyskehityksen vaikutuksia ja mahdollisuuksia ammattialallaan</w:t>
            </w:r>
          </w:p>
        </w:tc>
      </w:tr>
    </w:tbl>
    <w:p w:rsidR="004A2A4F" w:rsidRPr="004A2A4F" w:rsidRDefault="004A2A4F">
      <w:pPr>
        <w:rPr>
          <w:rFonts w:cstheme="minorHAnsi"/>
        </w:rPr>
      </w:pPr>
    </w:p>
    <w:p w:rsidR="004A2A4F" w:rsidRDefault="004A2A4F">
      <w:r>
        <w:t>TYKO18SY_3</w:t>
      </w: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64"/>
        <w:gridCol w:w="6656"/>
      </w:tblGrid>
      <w:tr w:rsidR="00291EDD" w:rsidTr="00291EDD">
        <w:tc>
          <w:tcPr>
            <w:tcW w:w="2864" w:type="dxa"/>
            <w:shd w:val="clear" w:color="auto" w:fill="31A3B5"/>
          </w:tcPr>
          <w:p w:rsidR="004A2A4F" w:rsidRPr="00291EDD" w:rsidRDefault="004A2A4F" w:rsidP="0099206A">
            <w:pPr>
              <w:pStyle w:val="Kansilehdenotsikontarkenne"/>
              <w:rPr>
                <w:rFonts w:cstheme="majorHAnsi"/>
                <w:sz w:val="24"/>
              </w:rPr>
            </w:pPr>
            <w:r w:rsidRPr="00291EDD">
              <w:rPr>
                <w:rFonts w:cstheme="majorHAnsi"/>
                <w:sz w:val="24"/>
              </w:rPr>
              <w:t>Tutkinto-ohjelmakohtaiset</w:t>
            </w:r>
            <w:r w:rsidRPr="00291EDD">
              <w:rPr>
                <w:rFonts w:cstheme="majorHAnsi"/>
                <w:sz w:val="24"/>
              </w:rPr>
              <w:br/>
              <w:t>ammatilliset kompetenssit</w:t>
            </w:r>
          </w:p>
        </w:tc>
        <w:tc>
          <w:tcPr>
            <w:tcW w:w="6656" w:type="dxa"/>
            <w:shd w:val="clear" w:color="auto" w:fill="31A3B5"/>
          </w:tcPr>
          <w:p w:rsidR="004A2A4F" w:rsidRPr="00291EDD" w:rsidRDefault="004A2A4F" w:rsidP="0099206A">
            <w:pPr>
              <w:pStyle w:val="Kansilehdenotsikontarkenne"/>
              <w:rPr>
                <w:rFonts w:cstheme="majorHAnsi"/>
                <w:snapToGrid w:val="0"/>
                <w:sz w:val="24"/>
              </w:rPr>
            </w:pPr>
            <w:r w:rsidRPr="00291EDD">
              <w:rPr>
                <w:rFonts w:cstheme="majorHAnsi"/>
                <w:snapToGrid w:val="0"/>
                <w:sz w:val="24"/>
              </w:rPr>
              <w:t xml:space="preserve">Osaamisen kuvaus </w:t>
            </w:r>
            <w:r w:rsidRPr="00291EDD">
              <w:rPr>
                <w:rFonts w:cstheme="majorHAnsi"/>
                <w:snapToGrid w:val="0"/>
                <w:sz w:val="24"/>
              </w:rPr>
              <w:br/>
            </w:r>
            <w:r w:rsidRPr="00291EDD">
              <w:rPr>
                <w:rFonts w:cstheme="majorHAnsi"/>
                <w:sz w:val="24"/>
              </w:rPr>
              <w:t>Hyvinvointikoordinaattori</w:t>
            </w:r>
          </w:p>
        </w:tc>
      </w:tr>
      <w:tr w:rsidR="00291EDD" w:rsidRPr="00291EDD" w:rsidTr="00291EDD">
        <w:tc>
          <w:tcPr>
            <w:tcW w:w="2864" w:type="dxa"/>
          </w:tcPr>
          <w:p w:rsidR="004A2A4F" w:rsidRPr="00291EDD" w:rsidRDefault="004A2A4F" w:rsidP="00291EDD">
            <w:pPr>
              <w:spacing w:before="120" w:after="120"/>
              <w:rPr>
                <w:rFonts w:asciiTheme="minorHAnsi" w:hAnsiTheme="minorHAnsi" w:cstheme="minorHAnsi"/>
                <w:b/>
              </w:rPr>
            </w:pPr>
            <w:r w:rsidRPr="00291EDD">
              <w:rPr>
                <w:rFonts w:asciiTheme="minorHAnsi" w:hAnsiTheme="minorHAnsi" w:cstheme="minorHAnsi"/>
                <w:b/>
              </w:rPr>
              <w:t xml:space="preserve">Hyvinvoinnin ja terveyden edistämisen osaaminen </w:t>
            </w:r>
            <w:r w:rsidRPr="00291EDD">
              <w:rPr>
                <w:rFonts w:asciiTheme="minorHAnsi" w:hAnsiTheme="minorHAnsi" w:cstheme="minorHAnsi"/>
                <w:b/>
              </w:rPr>
              <w:br/>
            </w:r>
          </w:p>
        </w:tc>
        <w:tc>
          <w:tcPr>
            <w:tcW w:w="6656" w:type="dxa"/>
          </w:tcPr>
          <w:p w:rsidR="004A2A4F" w:rsidRPr="00291EDD" w:rsidRDefault="004A2A4F" w:rsidP="00291EDD">
            <w:pPr>
              <w:pStyle w:val="Luettelokappale"/>
              <w:numPr>
                <w:ilvl w:val="0"/>
                <w:numId w:val="4"/>
              </w:numPr>
              <w:spacing w:line="240" w:lineRule="auto"/>
              <w:rPr>
                <w:rFonts w:asciiTheme="minorHAnsi" w:eastAsia="Tahoma" w:hAnsiTheme="minorHAnsi" w:cstheme="minorHAnsi"/>
                <w:szCs w:val="20"/>
              </w:rPr>
            </w:pPr>
            <w:r w:rsidRPr="00291EDD">
              <w:rPr>
                <w:rFonts w:asciiTheme="minorHAnsi" w:eastAsia="Tahoma" w:hAnsiTheme="minorHAnsi" w:cstheme="minorHAnsi"/>
                <w:szCs w:val="20"/>
              </w:rPr>
              <w:t>osaa tehdä</w:t>
            </w:r>
            <w:r w:rsidRPr="00291EDD">
              <w:rPr>
                <w:rFonts w:asciiTheme="minorHAnsi" w:eastAsia="Tahoma" w:hAnsiTheme="minorHAnsi" w:cstheme="minorHAnsi"/>
                <w:szCs w:val="20"/>
              </w:rPr>
              <w:t xml:space="preserve"> yhteistyötä palvelualueiden kanssa ja soveltaa hyvinvointia ja terveyttä edistäviä hyv</w:t>
            </w:r>
            <w:r w:rsidRPr="00291EDD">
              <w:rPr>
                <w:rFonts w:asciiTheme="minorHAnsi" w:eastAsia="Tahoma" w:hAnsiTheme="minorHAnsi" w:cstheme="minorHAnsi"/>
                <w:szCs w:val="20"/>
              </w:rPr>
              <w:t>iä käytäntöjä näiden toimintaan</w:t>
            </w:r>
            <w:r w:rsidRPr="00291EDD">
              <w:rPr>
                <w:rFonts w:asciiTheme="minorHAnsi" w:eastAsia="Tahoma" w:hAnsiTheme="minorHAnsi" w:cstheme="minorHAnsi"/>
                <w:szCs w:val="20"/>
              </w:rPr>
              <w:t xml:space="preserve"> </w:t>
            </w:r>
          </w:p>
          <w:p w:rsidR="004A2A4F" w:rsidRPr="00291EDD" w:rsidRDefault="004A2A4F" w:rsidP="00291EDD">
            <w:pPr>
              <w:pStyle w:val="Luettelokappale"/>
              <w:numPr>
                <w:ilvl w:val="0"/>
                <w:numId w:val="4"/>
              </w:numPr>
              <w:spacing w:line="240" w:lineRule="auto"/>
              <w:rPr>
                <w:rFonts w:asciiTheme="minorHAnsi" w:eastAsia="Tahoma" w:hAnsiTheme="minorHAnsi" w:cstheme="minorHAnsi"/>
                <w:szCs w:val="20"/>
              </w:rPr>
            </w:pPr>
            <w:r w:rsidRPr="00291EDD">
              <w:rPr>
                <w:rFonts w:asciiTheme="minorHAnsi" w:eastAsia="Tahoma" w:hAnsiTheme="minorHAnsi" w:cstheme="minorHAnsi"/>
                <w:szCs w:val="20"/>
              </w:rPr>
              <w:t>osaa a</w:t>
            </w:r>
            <w:r w:rsidRPr="00291EDD">
              <w:rPr>
                <w:rFonts w:asciiTheme="minorHAnsi" w:eastAsia="Tahoma" w:hAnsiTheme="minorHAnsi" w:cstheme="minorHAnsi"/>
                <w:szCs w:val="20"/>
              </w:rPr>
              <w:t>rvioi</w:t>
            </w:r>
            <w:r w:rsidRPr="00291EDD">
              <w:rPr>
                <w:rFonts w:asciiTheme="minorHAnsi" w:eastAsia="Tahoma" w:hAnsiTheme="minorHAnsi" w:cstheme="minorHAnsi"/>
                <w:szCs w:val="20"/>
              </w:rPr>
              <w:t>da</w:t>
            </w:r>
            <w:r w:rsidRPr="00291EDD">
              <w:rPr>
                <w:rFonts w:asciiTheme="minorHAnsi" w:eastAsia="Tahoma" w:hAnsiTheme="minorHAnsi" w:cstheme="minorHAnsi"/>
                <w:szCs w:val="20"/>
              </w:rPr>
              <w:t xml:space="preserve"> ja </w:t>
            </w:r>
            <w:proofErr w:type="spellStart"/>
            <w:r w:rsidRPr="00291EDD">
              <w:rPr>
                <w:rFonts w:asciiTheme="minorHAnsi" w:eastAsia="Tahoma" w:hAnsiTheme="minorHAnsi" w:cstheme="minorHAnsi"/>
                <w:szCs w:val="20"/>
              </w:rPr>
              <w:t>analysoi</w:t>
            </w:r>
            <w:r w:rsidRPr="00291EDD">
              <w:rPr>
                <w:rFonts w:asciiTheme="minorHAnsi" w:eastAsia="Tahoma" w:hAnsiTheme="minorHAnsi" w:cstheme="minorHAnsi"/>
                <w:szCs w:val="20"/>
              </w:rPr>
              <w:t>sa</w:t>
            </w:r>
            <w:proofErr w:type="spellEnd"/>
            <w:r w:rsidRPr="00291EDD">
              <w:rPr>
                <w:rFonts w:asciiTheme="minorHAnsi" w:eastAsia="Tahoma" w:hAnsiTheme="minorHAnsi" w:cstheme="minorHAnsi"/>
                <w:szCs w:val="20"/>
              </w:rPr>
              <w:t xml:space="preserve"> yhteiskunnan muutoksia hyvinvointi- ja terveysvaikutusten kannalta ja kehittää toimialueen</w:t>
            </w:r>
            <w:r w:rsidRPr="00291EDD">
              <w:rPr>
                <w:rFonts w:asciiTheme="minorHAnsi" w:eastAsia="Tahoma" w:hAnsiTheme="minorHAnsi" w:cstheme="minorHAnsi"/>
                <w:szCs w:val="20"/>
              </w:rPr>
              <w:t>sa hyvinvointiraportointia ja -</w:t>
            </w:r>
            <w:r w:rsidRPr="00291EDD">
              <w:rPr>
                <w:rFonts w:asciiTheme="minorHAnsi" w:eastAsia="Tahoma" w:hAnsiTheme="minorHAnsi" w:cstheme="minorHAnsi"/>
                <w:szCs w:val="20"/>
              </w:rPr>
              <w:t>suunnittelua ajankohtaist</w:t>
            </w:r>
            <w:r w:rsidRPr="00291EDD">
              <w:rPr>
                <w:rFonts w:asciiTheme="minorHAnsi" w:eastAsia="Tahoma" w:hAnsiTheme="minorHAnsi" w:cstheme="minorHAnsi"/>
                <w:szCs w:val="20"/>
              </w:rPr>
              <w:t>a alan lainsäädäntöä noudattaen</w:t>
            </w:r>
          </w:p>
          <w:p w:rsidR="004A2A4F" w:rsidRPr="00291EDD" w:rsidRDefault="004A2A4F" w:rsidP="00291EDD">
            <w:pPr>
              <w:pStyle w:val="Luettelokappale"/>
              <w:numPr>
                <w:ilvl w:val="0"/>
                <w:numId w:val="4"/>
              </w:numPr>
              <w:spacing w:line="240" w:lineRule="auto"/>
              <w:rPr>
                <w:rFonts w:asciiTheme="minorHAnsi" w:eastAsia="Tahoma" w:hAnsiTheme="minorHAnsi" w:cstheme="minorHAnsi"/>
                <w:szCs w:val="20"/>
              </w:rPr>
            </w:pPr>
            <w:r w:rsidRPr="00291EDD">
              <w:rPr>
                <w:rFonts w:asciiTheme="minorHAnsi" w:eastAsia="Tahoma" w:hAnsiTheme="minorHAnsi" w:cstheme="minorHAnsi"/>
                <w:szCs w:val="20"/>
              </w:rPr>
              <w:t>osaa kehittää ja koordinoida</w:t>
            </w:r>
            <w:r w:rsidRPr="00291EDD">
              <w:rPr>
                <w:rFonts w:asciiTheme="minorHAnsi" w:eastAsia="Tahoma" w:hAnsiTheme="minorHAnsi" w:cstheme="minorHAnsi"/>
                <w:szCs w:val="20"/>
              </w:rPr>
              <w:t xml:space="preserve"> alueen asukkaiden tai organisaation asiakkaiden hyvinvoinnin ja terveyden edistämistä</w:t>
            </w:r>
            <w:r w:rsidRPr="00291EDD">
              <w:rPr>
                <w:rFonts w:asciiTheme="minorHAnsi" w:eastAsia="Tahoma" w:hAnsiTheme="minorHAnsi" w:cstheme="minorHAnsi"/>
                <w:szCs w:val="20"/>
              </w:rPr>
              <w:t xml:space="preserve"> osana strategista kehittämistä</w:t>
            </w:r>
          </w:p>
          <w:p w:rsidR="004A2A4F" w:rsidRPr="00291EDD" w:rsidRDefault="004A2A4F" w:rsidP="00291EDD">
            <w:pPr>
              <w:pStyle w:val="Luettelokappale"/>
              <w:numPr>
                <w:ilvl w:val="0"/>
                <w:numId w:val="4"/>
              </w:numPr>
              <w:spacing w:line="240" w:lineRule="auto"/>
              <w:rPr>
                <w:rFonts w:asciiTheme="minorHAnsi" w:eastAsia="Tahoma" w:hAnsiTheme="minorHAnsi" w:cstheme="minorHAnsi"/>
                <w:szCs w:val="20"/>
              </w:rPr>
            </w:pPr>
            <w:r w:rsidRPr="00291EDD">
              <w:rPr>
                <w:rFonts w:asciiTheme="minorHAnsi" w:eastAsia="Tahoma" w:hAnsiTheme="minorHAnsi" w:cstheme="minorHAnsi"/>
                <w:szCs w:val="20"/>
              </w:rPr>
              <w:t xml:space="preserve">osaa </w:t>
            </w:r>
            <w:proofErr w:type="spellStart"/>
            <w:r w:rsidRPr="00291EDD">
              <w:rPr>
                <w:rFonts w:asciiTheme="minorHAnsi" w:eastAsia="Tahoma" w:hAnsiTheme="minorHAnsi" w:cstheme="minorHAnsi"/>
                <w:szCs w:val="20"/>
              </w:rPr>
              <w:t>suunnittella</w:t>
            </w:r>
            <w:proofErr w:type="spellEnd"/>
            <w:r w:rsidRPr="00291EDD">
              <w:rPr>
                <w:rFonts w:asciiTheme="minorHAnsi" w:eastAsia="Tahoma" w:hAnsiTheme="minorHAnsi" w:cstheme="minorHAnsi"/>
                <w:szCs w:val="20"/>
              </w:rPr>
              <w:t xml:space="preserve"> ja toteuttaa itsenäisesti strategiaprosessin kaikkin</w:t>
            </w:r>
            <w:r w:rsidRPr="00291EDD">
              <w:rPr>
                <w:rFonts w:asciiTheme="minorHAnsi" w:eastAsia="Tahoma" w:hAnsiTheme="minorHAnsi" w:cstheme="minorHAnsi"/>
                <w:szCs w:val="20"/>
              </w:rPr>
              <w:t>e vaiheineen ja</w:t>
            </w:r>
            <w:r w:rsidRPr="00291EDD">
              <w:rPr>
                <w:rFonts w:asciiTheme="minorHAnsi" w:eastAsia="Tahoma" w:hAnsiTheme="minorHAnsi" w:cstheme="minorHAnsi"/>
                <w:szCs w:val="20"/>
              </w:rPr>
              <w:t xml:space="preserve"> kehittää toimintaympäristön strategioita asiakaslähtöisesti ja palautetietoa hyödyntäen. </w:t>
            </w:r>
          </w:p>
        </w:tc>
      </w:tr>
      <w:tr w:rsidR="00291EDD" w:rsidRPr="00291EDD" w:rsidTr="00291EDD">
        <w:tc>
          <w:tcPr>
            <w:tcW w:w="2864" w:type="dxa"/>
          </w:tcPr>
          <w:p w:rsidR="004A2A4F" w:rsidRPr="00291EDD" w:rsidRDefault="004A2A4F" w:rsidP="00291EDD">
            <w:pPr>
              <w:spacing w:before="120" w:after="120"/>
              <w:rPr>
                <w:rFonts w:asciiTheme="minorHAnsi" w:hAnsiTheme="minorHAnsi" w:cstheme="minorHAnsi"/>
                <w:b/>
              </w:rPr>
            </w:pPr>
            <w:r w:rsidRPr="00291EDD">
              <w:rPr>
                <w:rFonts w:asciiTheme="minorHAnsi" w:hAnsiTheme="minorHAnsi" w:cstheme="minorHAnsi"/>
                <w:b/>
              </w:rPr>
              <w:t xml:space="preserve">Kehittämisosaaminen </w:t>
            </w:r>
            <w:r w:rsidRPr="00291EDD">
              <w:rPr>
                <w:rFonts w:asciiTheme="minorHAnsi" w:hAnsiTheme="minorHAnsi" w:cstheme="minorHAnsi"/>
                <w:b/>
              </w:rPr>
              <w:br/>
            </w:r>
          </w:p>
        </w:tc>
        <w:tc>
          <w:tcPr>
            <w:tcW w:w="6656" w:type="dxa"/>
          </w:tcPr>
          <w:p w:rsidR="004A2A4F" w:rsidRPr="00291EDD" w:rsidRDefault="004A2A4F" w:rsidP="00291EDD">
            <w:pPr>
              <w:pStyle w:val="Luettelokappale"/>
              <w:numPr>
                <w:ilvl w:val="0"/>
                <w:numId w:val="4"/>
              </w:numPr>
              <w:spacing w:line="240" w:lineRule="auto"/>
              <w:rPr>
                <w:rFonts w:asciiTheme="minorHAnsi" w:eastAsia="Tahoma" w:hAnsiTheme="minorHAnsi" w:cstheme="minorHAnsi"/>
                <w:szCs w:val="20"/>
              </w:rPr>
            </w:pPr>
            <w:r w:rsidRPr="00291EDD">
              <w:rPr>
                <w:rFonts w:asciiTheme="minorHAnsi" w:eastAsia="Tahoma" w:hAnsiTheme="minorHAnsi" w:cstheme="minorHAnsi"/>
                <w:szCs w:val="20"/>
              </w:rPr>
              <w:t>osaa toteuttaa ja johtaa työelämän strategialähtöisiä</w:t>
            </w:r>
            <w:r w:rsidRPr="00291EDD">
              <w:rPr>
                <w:rFonts w:asciiTheme="minorHAnsi" w:eastAsia="Tahoma" w:hAnsiTheme="minorHAnsi" w:cstheme="minorHAnsi"/>
                <w:szCs w:val="20"/>
              </w:rPr>
              <w:t xml:space="preserve"> t</w:t>
            </w:r>
            <w:r w:rsidRPr="00291EDD">
              <w:rPr>
                <w:rFonts w:asciiTheme="minorHAnsi" w:eastAsia="Tahoma" w:hAnsiTheme="minorHAnsi" w:cstheme="minorHAnsi"/>
                <w:szCs w:val="20"/>
              </w:rPr>
              <w:t>utkimus- ja kehittämisprosesseja</w:t>
            </w:r>
            <w:r w:rsidRPr="00291EDD">
              <w:rPr>
                <w:rFonts w:asciiTheme="minorHAnsi" w:eastAsia="Tahoma" w:hAnsiTheme="minorHAnsi" w:cstheme="minorHAnsi"/>
                <w:szCs w:val="20"/>
              </w:rPr>
              <w:t xml:space="preserve"> yhteistyössä työntekijöiden ja asiantuntijoiden kanssa tieteellises</w:t>
            </w:r>
            <w:r w:rsidRPr="00291EDD">
              <w:rPr>
                <w:rFonts w:asciiTheme="minorHAnsi" w:eastAsia="Tahoma" w:hAnsiTheme="minorHAnsi" w:cstheme="minorHAnsi"/>
                <w:szCs w:val="20"/>
              </w:rPr>
              <w:t>ti päteviä menetelmiä soveltaen</w:t>
            </w:r>
          </w:p>
          <w:p w:rsidR="004A2A4F" w:rsidRPr="00291EDD" w:rsidRDefault="004A2A4F" w:rsidP="00291EDD">
            <w:pPr>
              <w:pStyle w:val="Luettelokappale"/>
              <w:numPr>
                <w:ilvl w:val="0"/>
                <w:numId w:val="4"/>
              </w:numPr>
              <w:spacing w:line="240" w:lineRule="auto"/>
              <w:rPr>
                <w:rFonts w:asciiTheme="minorHAnsi" w:eastAsia="Tahoma" w:hAnsiTheme="minorHAnsi" w:cstheme="minorHAnsi"/>
                <w:szCs w:val="20"/>
              </w:rPr>
            </w:pPr>
            <w:r w:rsidRPr="00291EDD">
              <w:rPr>
                <w:rFonts w:asciiTheme="minorHAnsi" w:eastAsia="Tahoma" w:hAnsiTheme="minorHAnsi" w:cstheme="minorHAnsi"/>
                <w:szCs w:val="20"/>
              </w:rPr>
              <w:t xml:space="preserve">osaa </w:t>
            </w:r>
            <w:r w:rsidR="00291EDD" w:rsidRPr="00291EDD">
              <w:rPr>
                <w:rFonts w:asciiTheme="minorHAnsi" w:eastAsia="Tahoma" w:hAnsiTheme="minorHAnsi" w:cstheme="minorHAnsi"/>
                <w:szCs w:val="20"/>
              </w:rPr>
              <w:t>reflektoida, mallintaa ja johtaa m</w:t>
            </w:r>
            <w:r w:rsidRPr="00291EDD">
              <w:rPr>
                <w:rFonts w:asciiTheme="minorHAnsi" w:eastAsia="Tahoma" w:hAnsiTheme="minorHAnsi" w:cstheme="minorHAnsi"/>
                <w:szCs w:val="20"/>
              </w:rPr>
              <w:t>uut</w:t>
            </w:r>
            <w:r w:rsidR="00291EDD" w:rsidRPr="00291EDD">
              <w:rPr>
                <w:rFonts w:asciiTheme="minorHAnsi" w:eastAsia="Tahoma" w:hAnsiTheme="minorHAnsi" w:cstheme="minorHAnsi"/>
                <w:szCs w:val="20"/>
              </w:rPr>
              <w:t>os- ja ongelmaratkaisuprosesseja</w:t>
            </w:r>
            <w:r w:rsidRPr="00291EDD">
              <w:rPr>
                <w:rFonts w:asciiTheme="minorHAnsi" w:eastAsia="Tahoma" w:hAnsiTheme="minorHAnsi" w:cstheme="minorHAnsi"/>
                <w:szCs w:val="20"/>
              </w:rPr>
              <w:t xml:space="preserve"> yhteistyö</w:t>
            </w:r>
            <w:r w:rsidR="00291EDD" w:rsidRPr="00291EDD">
              <w:rPr>
                <w:rFonts w:asciiTheme="minorHAnsi" w:eastAsia="Tahoma" w:hAnsiTheme="minorHAnsi" w:cstheme="minorHAnsi"/>
                <w:szCs w:val="20"/>
              </w:rPr>
              <w:t>ssä työyhteisön jäsenten kanssa</w:t>
            </w:r>
            <w:r w:rsidRPr="00291EDD">
              <w:rPr>
                <w:rFonts w:asciiTheme="minorHAnsi" w:eastAsia="Tahoma" w:hAnsiTheme="minorHAnsi" w:cstheme="minorHAnsi"/>
                <w:szCs w:val="20"/>
              </w:rPr>
              <w:t xml:space="preserve"> </w:t>
            </w:r>
          </w:p>
          <w:p w:rsidR="004A2A4F" w:rsidRPr="00291EDD" w:rsidRDefault="00291EDD" w:rsidP="00291EDD">
            <w:pPr>
              <w:pStyle w:val="Luettelokappale"/>
              <w:numPr>
                <w:ilvl w:val="0"/>
                <w:numId w:val="4"/>
              </w:numPr>
              <w:spacing w:line="240" w:lineRule="auto"/>
              <w:rPr>
                <w:rFonts w:asciiTheme="minorHAnsi" w:eastAsia="Tahoma" w:hAnsiTheme="minorHAnsi" w:cstheme="minorHAnsi"/>
                <w:szCs w:val="20"/>
              </w:rPr>
            </w:pPr>
            <w:r w:rsidRPr="00291EDD">
              <w:rPr>
                <w:rFonts w:asciiTheme="minorHAnsi" w:eastAsia="Tahoma" w:hAnsiTheme="minorHAnsi" w:cstheme="minorHAnsi"/>
                <w:szCs w:val="20"/>
              </w:rPr>
              <w:t xml:space="preserve">osaa tunnistaa ja uusia kehitystrendejä ennakoivia signaaleja ja </w:t>
            </w:r>
            <w:r w:rsidR="004A2A4F" w:rsidRPr="00291EDD">
              <w:rPr>
                <w:rFonts w:asciiTheme="minorHAnsi" w:eastAsia="Tahoma" w:hAnsiTheme="minorHAnsi" w:cstheme="minorHAnsi"/>
                <w:szCs w:val="20"/>
              </w:rPr>
              <w:t xml:space="preserve"> </w:t>
            </w:r>
            <w:r w:rsidRPr="00291EDD">
              <w:rPr>
                <w:rFonts w:asciiTheme="minorHAnsi" w:eastAsia="Tahoma" w:hAnsiTheme="minorHAnsi" w:cstheme="minorHAnsi"/>
                <w:szCs w:val="20"/>
              </w:rPr>
              <w:t>vastata haasteisiin</w:t>
            </w:r>
            <w:r w:rsidR="004A2A4F" w:rsidRPr="00291EDD">
              <w:rPr>
                <w:rFonts w:asciiTheme="minorHAnsi" w:eastAsia="Tahoma" w:hAnsiTheme="minorHAnsi" w:cstheme="minorHAnsi"/>
                <w:szCs w:val="20"/>
              </w:rPr>
              <w:t xml:space="preserve"> e</w:t>
            </w:r>
            <w:r w:rsidRPr="00291EDD">
              <w:rPr>
                <w:rFonts w:asciiTheme="minorHAnsi" w:eastAsia="Tahoma" w:hAnsiTheme="minorHAnsi" w:cstheme="minorHAnsi"/>
                <w:szCs w:val="20"/>
              </w:rPr>
              <w:t>nnakoinnin menetelmiä soveltaen</w:t>
            </w:r>
          </w:p>
        </w:tc>
      </w:tr>
      <w:tr w:rsidR="00291EDD" w:rsidRPr="00291EDD" w:rsidTr="00291EDD">
        <w:tc>
          <w:tcPr>
            <w:tcW w:w="2864" w:type="dxa"/>
          </w:tcPr>
          <w:p w:rsidR="004A2A4F" w:rsidRPr="00291EDD" w:rsidRDefault="004A2A4F" w:rsidP="00291EDD">
            <w:pPr>
              <w:spacing w:before="120" w:after="120"/>
              <w:rPr>
                <w:rFonts w:asciiTheme="minorHAnsi" w:hAnsiTheme="minorHAnsi" w:cstheme="minorHAnsi"/>
                <w:b/>
              </w:rPr>
            </w:pPr>
            <w:r w:rsidRPr="00291EDD">
              <w:rPr>
                <w:rFonts w:asciiTheme="minorHAnsi" w:hAnsiTheme="minorHAnsi" w:cstheme="minorHAnsi"/>
                <w:b/>
              </w:rPr>
              <w:t>Johtamisosaaminen</w:t>
            </w:r>
            <w:r w:rsidRPr="00291EDD">
              <w:rPr>
                <w:rFonts w:asciiTheme="minorHAnsi" w:hAnsiTheme="minorHAnsi" w:cstheme="minorHAnsi"/>
                <w:b/>
              </w:rPr>
              <w:br/>
            </w:r>
          </w:p>
        </w:tc>
        <w:tc>
          <w:tcPr>
            <w:tcW w:w="6656" w:type="dxa"/>
          </w:tcPr>
          <w:p w:rsidR="004A2A4F" w:rsidRPr="00291EDD" w:rsidRDefault="00291EDD" w:rsidP="00291EDD">
            <w:pPr>
              <w:pStyle w:val="Luettelokappale"/>
              <w:numPr>
                <w:ilvl w:val="0"/>
                <w:numId w:val="4"/>
              </w:numPr>
              <w:spacing w:line="240" w:lineRule="auto"/>
              <w:rPr>
                <w:rFonts w:asciiTheme="minorHAnsi" w:eastAsia="Tahoma" w:hAnsiTheme="minorHAnsi" w:cstheme="minorHAnsi"/>
                <w:szCs w:val="20"/>
              </w:rPr>
            </w:pPr>
            <w:r w:rsidRPr="00291EDD">
              <w:rPr>
                <w:rFonts w:asciiTheme="minorHAnsi" w:eastAsia="Tahoma" w:hAnsiTheme="minorHAnsi" w:cstheme="minorHAnsi"/>
                <w:szCs w:val="20"/>
              </w:rPr>
              <w:t xml:space="preserve">osaa arvioida ja kehittää yhteiskunta- ja asiakaslähtöisesti </w:t>
            </w:r>
            <w:r w:rsidR="004A2A4F" w:rsidRPr="00291EDD">
              <w:rPr>
                <w:rFonts w:asciiTheme="minorHAnsi" w:eastAsia="Tahoma" w:hAnsiTheme="minorHAnsi" w:cstheme="minorHAnsi"/>
                <w:szCs w:val="20"/>
              </w:rPr>
              <w:t>or</w:t>
            </w:r>
            <w:r w:rsidRPr="00291EDD">
              <w:rPr>
                <w:rFonts w:asciiTheme="minorHAnsi" w:eastAsia="Tahoma" w:hAnsiTheme="minorHAnsi" w:cstheme="minorHAnsi"/>
                <w:szCs w:val="20"/>
              </w:rPr>
              <w:t>ganisaation johtamisjärjestelmää, ennakoida</w:t>
            </w:r>
            <w:r w:rsidR="004A2A4F" w:rsidRPr="00291EDD">
              <w:rPr>
                <w:rFonts w:asciiTheme="minorHAnsi" w:eastAsia="Tahoma" w:hAnsiTheme="minorHAnsi" w:cstheme="minorHAnsi"/>
                <w:szCs w:val="20"/>
              </w:rPr>
              <w:t xml:space="preserve"> toimin</w:t>
            </w:r>
            <w:r w:rsidRPr="00291EDD">
              <w:rPr>
                <w:rFonts w:asciiTheme="minorHAnsi" w:eastAsia="Tahoma" w:hAnsiTheme="minorHAnsi" w:cstheme="minorHAnsi"/>
                <w:szCs w:val="20"/>
              </w:rPr>
              <w:t>taympäristön muutoksia</w:t>
            </w:r>
            <w:r w:rsidR="004A2A4F" w:rsidRPr="00291EDD">
              <w:rPr>
                <w:rFonts w:asciiTheme="minorHAnsi" w:eastAsia="Tahoma" w:hAnsiTheme="minorHAnsi" w:cstheme="minorHAnsi"/>
                <w:szCs w:val="20"/>
              </w:rPr>
              <w:t xml:space="preserve"> ja </w:t>
            </w:r>
            <w:r w:rsidRPr="00291EDD">
              <w:rPr>
                <w:rFonts w:asciiTheme="minorHAnsi" w:eastAsia="Tahoma" w:hAnsiTheme="minorHAnsi" w:cstheme="minorHAnsi"/>
                <w:szCs w:val="20"/>
              </w:rPr>
              <w:t xml:space="preserve">vastata </w:t>
            </w:r>
            <w:r w:rsidR="004A2A4F" w:rsidRPr="00291EDD">
              <w:rPr>
                <w:rFonts w:asciiTheme="minorHAnsi" w:eastAsia="Tahoma" w:hAnsiTheme="minorHAnsi" w:cstheme="minorHAnsi"/>
                <w:szCs w:val="20"/>
              </w:rPr>
              <w:t>muutostarpeisiin johtamisjä</w:t>
            </w:r>
            <w:r w:rsidRPr="00291EDD">
              <w:rPr>
                <w:rFonts w:asciiTheme="minorHAnsi" w:eastAsia="Tahoma" w:hAnsiTheme="minorHAnsi" w:cstheme="minorHAnsi"/>
                <w:szCs w:val="20"/>
              </w:rPr>
              <w:t>rjestelmää kehittämällä</w:t>
            </w:r>
          </w:p>
          <w:p w:rsidR="004A2A4F" w:rsidRPr="00291EDD" w:rsidRDefault="00291EDD" w:rsidP="00291EDD">
            <w:pPr>
              <w:pStyle w:val="Luettelokappale"/>
              <w:numPr>
                <w:ilvl w:val="0"/>
                <w:numId w:val="4"/>
              </w:numPr>
              <w:spacing w:line="240" w:lineRule="auto"/>
              <w:rPr>
                <w:rFonts w:asciiTheme="minorHAnsi" w:eastAsia="Tahoma" w:hAnsiTheme="minorHAnsi" w:cstheme="minorHAnsi"/>
                <w:szCs w:val="20"/>
              </w:rPr>
            </w:pPr>
            <w:r w:rsidRPr="00291EDD">
              <w:rPr>
                <w:rFonts w:asciiTheme="minorHAnsi" w:eastAsia="Tahoma" w:hAnsiTheme="minorHAnsi" w:cstheme="minorHAnsi"/>
                <w:szCs w:val="20"/>
              </w:rPr>
              <w:t>osaa jatkuvasti kehittää t</w:t>
            </w:r>
            <w:r w:rsidR="004A2A4F" w:rsidRPr="00291EDD">
              <w:rPr>
                <w:rFonts w:asciiTheme="minorHAnsi" w:eastAsia="Tahoma" w:hAnsiTheme="minorHAnsi" w:cstheme="minorHAnsi"/>
                <w:szCs w:val="20"/>
              </w:rPr>
              <w:t>urvallisuusjohtamisen o</w:t>
            </w:r>
            <w:r w:rsidRPr="00291EDD">
              <w:rPr>
                <w:rFonts w:asciiTheme="minorHAnsi" w:eastAsia="Tahoma" w:hAnsiTheme="minorHAnsi" w:cstheme="minorHAnsi"/>
                <w:szCs w:val="20"/>
              </w:rPr>
              <w:t>sa-alueita</w:t>
            </w:r>
            <w:r w:rsidR="004A2A4F" w:rsidRPr="00291EDD">
              <w:rPr>
                <w:rFonts w:asciiTheme="minorHAnsi" w:eastAsia="Tahoma" w:hAnsiTheme="minorHAnsi" w:cstheme="minorHAnsi"/>
                <w:szCs w:val="20"/>
              </w:rPr>
              <w:t xml:space="preserve"> asiakas- ja työyhteisössä ja </w:t>
            </w:r>
            <w:r w:rsidRPr="00291EDD">
              <w:rPr>
                <w:rFonts w:asciiTheme="minorHAnsi" w:eastAsia="Tahoma" w:hAnsiTheme="minorHAnsi" w:cstheme="minorHAnsi"/>
                <w:szCs w:val="20"/>
              </w:rPr>
              <w:t>ylläpitää työhyvinvointia myönteisessä ilmapiirissä</w:t>
            </w:r>
          </w:p>
          <w:p w:rsidR="004A2A4F" w:rsidRPr="00291EDD" w:rsidRDefault="00291EDD" w:rsidP="00291EDD">
            <w:pPr>
              <w:pStyle w:val="Luettelokappale"/>
              <w:numPr>
                <w:ilvl w:val="0"/>
                <w:numId w:val="4"/>
              </w:numPr>
              <w:spacing w:line="240" w:lineRule="auto"/>
              <w:rPr>
                <w:rFonts w:asciiTheme="minorHAnsi" w:eastAsia="Tahoma" w:hAnsiTheme="minorHAnsi" w:cstheme="minorHAnsi"/>
                <w:szCs w:val="20"/>
              </w:rPr>
            </w:pPr>
            <w:r w:rsidRPr="00291EDD">
              <w:rPr>
                <w:rFonts w:asciiTheme="minorHAnsi" w:eastAsia="Tahoma" w:hAnsiTheme="minorHAnsi" w:cstheme="minorHAnsi"/>
                <w:szCs w:val="20"/>
              </w:rPr>
              <w:t>osaa ohjata omaa</w:t>
            </w:r>
            <w:r w:rsidR="004A2A4F" w:rsidRPr="00291EDD">
              <w:rPr>
                <w:rFonts w:asciiTheme="minorHAnsi" w:eastAsia="Tahoma" w:hAnsiTheme="minorHAnsi" w:cstheme="minorHAnsi"/>
                <w:szCs w:val="20"/>
              </w:rPr>
              <w:t xml:space="preserve"> ja </w:t>
            </w:r>
            <w:r w:rsidRPr="00291EDD">
              <w:rPr>
                <w:rFonts w:asciiTheme="minorHAnsi" w:eastAsia="Tahoma" w:hAnsiTheme="minorHAnsi" w:cstheme="minorHAnsi"/>
                <w:szCs w:val="20"/>
              </w:rPr>
              <w:t>työyhteisön toimintaa</w:t>
            </w:r>
            <w:r w:rsidR="004A2A4F" w:rsidRPr="00291EDD">
              <w:rPr>
                <w:rFonts w:asciiTheme="minorHAnsi" w:eastAsia="Tahoma" w:hAnsiTheme="minorHAnsi" w:cstheme="minorHAnsi"/>
                <w:szCs w:val="20"/>
              </w:rPr>
              <w:t xml:space="preserve"> eettisesti kestävien periaatteiden mukaan tiedostaen ammatillisen kasvun ja kehittymise</w:t>
            </w:r>
            <w:r w:rsidRPr="00291EDD">
              <w:rPr>
                <w:rFonts w:asciiTheme="minorHAnsi" w:eastAsia="Tahoma" w:hAnsiTheme="minorHAnsi" w:cstheme="minorHAnsi"/>
                <w:szCs w:val="20"/>
              </w:rPr>
              <w:t>n merkityksen työhyvinvoinnille</w:t>
            </w:r>
          </w:p>
          <w:p w:rsidR="004A2A4F" w:rsidRPr="00291EDD" w:rsidRDefault="004A2A4F" w:rsidP="00291EDD">
            <w:pPr>
              <w:pStyle w:val="Luettelokappale"/>
              <w:numPr>
                <w:ilvl w:val="0"/>
                <w:numId w:val="4"/>
              </w:numPr>
              <w:spacing w:line="240" w:lineRule="auto"/>
              <w:rPr>
                <w:rFonts w:asciiTheme="minorHAnsi" w:eastAsia="Tahoma" w:hAnsiTheme="minorHAnsi" w:cstheme="minorHAnsi"/>
                <w:szCs w:val="20"/>
              </w:rPr>
            </w:pPr>
            <w:r w:rsidRPr="00291EDD">
              <w:rPr>
                <w:rFonts w:asciiTheme="minorHAnsi" w:eastAsia="Tahoma" w:hAnsiTheme="minorHAnsi" w:cstheme="minorHAnsi"/>
                <w:szCs w:val="20"/>
              </w:rPr>
              <w:t>Toimintaympäristön kansainvälistymiskehityksen edistäminen ja monikulttuurisuusajattelun toteuttaminen käytännön johtamistoiminnoissa.</w:t>
            </w:r>
          </w:p>
        </w:tc>
      </w:tr>
    </w:tbl>
    <w:p w:rsidR="004A2A4F" w:rsidRPr="00291EDD" w:rsidRDefault="004A2A4F" w:rsidP="00291EDD">
      <w:pPr>
        <w:pStyle w:val="Luettelokappale"/>
        <w:numPr>
          <w:ilvl w:val="0"/>
          <w:numId w:val="0"/>
        </w:numPr>
        <w:spacing w:line="240" w:lineRule="auto"/>
        <w:ind w:left="720"/>
        <w:rPr>
          <w:rFonts w:asciiTheme="minorHAnsi" w:eastAsia="Tahoma" w:hAnsiTheme="minorHAnsi" w:cstheme="minorHAnsi"/>
          <w:sz w:val="20"/>
          <w:szCs w:val="20"/>
          <w:lang w:eastAsia="fi-FI"/>
        </w:rPr>
      </w:pPr>
    </w:p>
    <w:sectPr w:rsidR="004A2A4F" w:rsidRPr="00291ED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685"/>
    <w:multiLevelType w:val="hybridMultilevel"/>
    <w:tmpl w:val="776287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870A14"/>
    <w:multiLevelType w:val="hybridMultilevel"/>
    <w:tmpl w:val="1E7E43CE"/>
    <w:lvl w:ilvl="0" w:tplc="76424B88">
      <w:numFmt w:val="bullet"/>
      <w:lvlText w:val="-"/>
      <w:lvlJc w:val="left"/>
      <w:pPr>
        <w:ind w:left="720" w:hanging="360"/>
      </w:pPr>
      <w:rPr>
        <w:rFonts w:ascii="Calibri Light" w:eastAsia="Tahoma"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3" w15:restartNumberingAfterBreak="0">
    <w:nsid w:val="443F56CE"/>
    <w:multiLevelType w:val="hybridMultilevel"/>
    <w:tmpl w:val="A6AED2D8"/>
    <w:lvl w:ilvl="0" w:tplc="FFFFFFFF">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21860"/>
    <w:multiLevelType w:val="hybridMultilevel"/>
    <w:tmpl w:val="C308AD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2"/>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4F"/>
    <w:rsid w:val="00291EDD"/>
    <w:rsid w:val="004A2A4F"/>
    <w:rsid w:val="005B5003"/>
    <w:rsid w:val="006A514B"/>
    <w:rsid w:val="00D926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C5D1"/>
  <w15:chartTrackingRefBased/>
  <w15:docId w15:val="{996A388D-A962-4ABC-AC39-2C6FDA0D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A2A4F"/>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silehdenotsikontarkenne">
    <w:name w:val="Kansilehden otsikon tarkenne"/>
    <w:basedOn w:val="Eivli"/>
    <w:link w:val="KansilehdenotsikontarkenneChar"/>
    <w:qFormat/>
    <w:rsid w:val="004A2A4F"/>
    <w:pPr>
      <w:spacing w:before="120" w:after="120" w:line="276" w:lineRule="auto"/>
    </w:pPr>
    <w:rPr>
      <w:rFonts w:asciiTheme="majorHAnsi" w:eastAsia="Calibri" w:hAnsiTheme="majorHAnsi" w:cs="Times New Roman"/>
      <w:b/>
      <w:color w:val="FFFFFF" w:themeColor="background1"/>
      <w:sz w:val="20"/>
      <w:szCs w:val="24"/>
    </w:rPr>
  </w:style>
  <w:style w:type="character" w:customStyle="1" w:styleId="KansilehdenotsikontarkenneChar">
    <w:name w:val="Kansilehden otsikon tarkenne Char"/>
    <w:basedOn w:val="Kappaleenoletusfontti"/>
    <w:link w:val="Kansilehdenotsikontarkenne"/>
    <w:rsid w:val="004A2A4F"/>
    <w:rPr>
      <w:rFonts w:asciiTheme="majorHAnsi" w:eastAsia="Calibri" w:hAnsiTheme="majorHAnsi" w:cs="Times New Roman"/>
      <w:b/>
      <w:color w:val="FFFFFF" w:themeColor="background1"/>
      <w:sz w:val="20"/>
      <w:szCs w:val="24"/>
    </w:rPr>
  </w:style>
  <w:style w:type="paragraph" w:styleId="Eivli">
    <w:name w:val="No Spacing"/>
    <w:uiPriority w:val="1"/>
    <w:qFormat/>
    <w:rsid w:val="004A2A4F"/>
    <w:pPr>
      <w:spacing w:after="0" w:line="240" w:lineRule="auto"/>
    </w:pPr>
  </w:style>
  <w:style w:type="paragraph" w:styleId="Luettelokappale">
    <w:name w:val="List Paragraph"/>
    <w:basedOn w:val="Normaali"/>
    <w:uiPriority w:val="34"/>
    <w:qFormat/>
    <w:rsid w:val="004A2A4F"/>
    <w:pPr>
      <w:numPr>
        <w:numId w:val="1"/>
      </w:numPr>
      <w:spacing w:after="0" w:line="360" w:lineRule="auto"/>
      <w:contextualSpacing/>
    </w:pPr>
    <w:rPr>
      <w:rFonts w:ascii="Georgia" w:eastAsia="Times New Roman" w:hAnsi="Georg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589</Words>
  <Characters>4779</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2</cp:revision>
  <dcterms:created xsi:type="dcterms:W3CDTF">2017-12-08T13:19:00Z</dcterms:created>
  <dcterms:modified xsi:type="dcterms:W3CDTF">2017-12-08T13:36:00Z</dcterms:modified>
</cp:coreProperties>
</file>