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067"/>
        <w:gridCol w:w="6665"/>
      </w:tblGrid>
      <w:tr w:rsidR="008D0574" w:rsidRPr="005F28D6" w:rsidTr="00AE1E65">
        <w:tc>
          <w:tcPr>
            <w:tcW w:w="2122" w:type="dxa"/>
            <w:shd w:val="clear" w:color="auto" w:fill="31A3B5"/>
          </w:tcPr>
          <w:p w:rsidR="008D0574" w:rsidRPr="005F28D6" w:rsidRDefault="00013F66" w:rsidP="002C6698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Types</w:t>
            </w:r>
            <w:proofErr w:type="spellEnd"/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1067" w:type="dxa"/>
            <w:shd w:val="clear" w:color="auto" w:fill="31A3B5"/>
          </w:tcPr>
          <w:p w:rsidR="008D0574" w:rsidRPr="005F28D6" w:rsidRDefault="00013F66" w:rsidP="002C6698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Extent</w:t>
            </w:r>
            <w:proofErr w:type="spellEnd"/>
            <w:r w:rsidR="008D0574" w:rsidRPr="005F28D6"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6665" w:type="dxa"/>
            <w:shd w:val="clear" w:color="auto" w:fill="31A3B5"/>
          </w:tcPr>
          <w:p w:rsidR="008D0574" w:rsidRPr="005F28D6" w:rsidRDefault="00013F66" w:rsidP="002C6698">
            <w:pPr>
              <w:spacing w:before="240"/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Description</w:t>
            </w:r>
            <w:proofErr w:type="spellEnd"/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ahoma" w:eastAsia="Calibri" w:hAnsi="Tahoma" w:cs="Tahoma"/>
                <w:b/>
                <w:color w:val="FFFFFF"/>
                <w:sz w:val="20"/>
                <w:szCs w:val="20"/>
              </w:rPr>
              <w:t>Studies</w:t>
            </w:r>
            <w:proofErr w:type="spellEnd"/>
          </w:p>
        </w:tc>
      </w:tr>
      <w:tr w:rsidR="008D0574" w:rsidRPr="00AE1E65" w:rsidTr="00AE1E65">
        <w:tc>
          <w:tcPr>
            <w:tcW w:w="2122" w:type="dxa"/>
          </w:tcPr>
          <w:p w:rsidR="008D0574" w:rsidRPr="00813152" w:rsidRDefault="00013F66" w:rsidP="002C6698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13152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Basic </w:t>
            </w:r>
            <w:proofErr w:type="spellStart"/>
            <w:r w:rsidRPr="00813152">
              <w:rPr>
                <w:rFonts w:ascii="Tahoma" w:eastAsia="Calibri" w:hAnsi="Tahoma" w:cs="Tahoma"/>
                <w:b/>
                <w:sz w:val="20"/>
                <w:szCs w:val="20"/>
              </w:rPr>
              <w:t>Studies</w:t>
            </w:r>
            <w:proofErr w:type="spellEnd"/>
            <w:r w:rsidR="008D0574" w:rsidRPr="00813152">
              <w:rPr>
                <w:rFonts w:ascii="Tahoma" w:eastAsia="Calibri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067" w:type="dxa"/>
          </w:tcPr>
          <w:p w:rsidR="008D0574" w:rsidRPr="00813152" w:rsidRDefault="00A11082" w:rsidP="002C6698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 w:rsidRPr="00813152">
              <w:rPr>
                <w:rFonts w:ascii="Tahoma" w:eastAsia="Calibri" w:hAnsi="Tahoma" w:cs="Tahoma"/>
                <w:sz w:val="20"/>
                <w:szCs w:val="20"/>
              </w:rPr>
              <w:t>30</w:t>
            </w:r>
            <w:r w:rsidR="00AE1E6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5B57EA">
              <w:rPr>
                <w:rFonts w:ascii="Tahoma" w:eastAsia="Calibri" w:hAnsi="Tahoma" w:cs="Tahoma"/>
                <w:sz w:val="20"/>
                <w:szCs w:val="20"/>
              </w:rPr>
              <w:t>ECTS</w:t>
            </w:r>
          </w:p>
        </w:tc>
        <w:tc>
          <w:tcPr>
            <w:tcW w:w="6665" w:type="dxa"/>
          </w:tcPr>
          <w:p w:rsidR="00013F66" w:rsidRPr="002E301B" w:rsidRDefault="00813152" w:rsidP="00AE1E65">
            <w:pPr>
              <w:spacing w:before="120" w:after="120" w:line="240" w:lineRule="auto"/>
              <w:rPr>
                <w:rFonts w:ascii="Tahoma" w:hAnsi="Tahoma" w:cs="Tahoma"/>
                <w:iCs/>
                <w:sz w:val="20"/>
                <w:szCs w:val="20"/>
                <w:lang w:val="en-GB"/>
              </w:rPr>
            </w:pPr>
            <w:r w:rsidRPr="00AE1E65">
              <w:rPr>
                <w:rFonts w:ascii="Tahoma" w:hAnsi="Tahoma" w:cs="Tahoma"/>
                <w:sz w:val="20"/>
                <w:szCs w:val="20"/>
                <w:lang w:val="en-GB"/>
              </w:rPr>
              <w:t>Basic</w:t>
            </w:r>
            <w:r w:rsidR="000D3698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 studies consist of introduction to UAS studies, learning objectives and content of education. The studies provide a solid foundation for professional growth, responsible working, lifelong learning and the development of language and communication skills</w:t>
            </w:r>
            <w:r w:rsidR="00EA24D0" w:rsidRPr="00AE1E65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</w:p>
        </w:tc>
      </w:tr>
      <w:tr w:rsidR="008D0574" w:rsidRPr="00AE1E65" w:rsidTr="00AE1E65">
        <w:tc>
          <w:tcPr>
            <w:tcW w:w="2122" w:type="dxa"/>
          </w:tcPr>
          <w:p w:rsidR="008D0574" w:rsidRPr="005F28D6" w:rsidRDefault="00013F66" w:rsidP="00013F66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Professional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Studies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Theory</w:t>
            </w:r>
            <w:proofErr w:type="spellEnd"/>
          </w:p>
        </w:tc>
        <w:tc>
          <w:tcPr>
            <w:tcW w:w="1067" w:type="dxa"/>
          </w:tcPr>
          <w:p w:rsidR="008D0574" w:rsidRPr="005F28D6" w:rsidRDefault="008D0574" w:rsidP="002C6698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D0574" w:rsidRPr="005F28D6" w:rsidRDefault="00D32823" w:rsidP="002C6698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60</w:t>
            </w:r>
            <w:r w:rsidR="00AE1E6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5B57EA">
              <w:rPr>
                <w:rFonts w:ascii="Tahoma" w:eastAsia="Calibri" w:hAnsi="Tahoma" w:cs="Tahoma"/>
                <w:sz w:val="20"/>
                <w:szCs w:val="20"/>
              </w:rPr>
              <w:t>ECTS</w:t>
            </w:r>
          </w:p>
        </w:tc>
        <w:tc>
          <w:tcPr>
            <w:tcW w:w="6665" w:type="dxa"/>
          </w:tcPr>
          <w:p w:rsidR="002B1B94" w:rsidRPr="00AE1E65" w:rsidRDefault="000D3698" w:rsidP="00AE1E65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E1E65">
              <w:rPr>
                <w:rFonts w:ascii="Tahoma" w:hAnsi="Tahoma" w:cs="Tahoma"/>
                <w:sz w:val="20"/>
                <w:szCs w:val="20"/>
                <w:lang w:val="en-GB"/>
              </w:rPr>
              <w:t>Pr</w:t>
            </w:r>
            <w:r w:rsidR="005425A2" w:rsidRPr="00AE1E65">
              <w:rPr>
                <w:rFonts w:ascii="Tahoma" w:hAnsi="Tahoma" w:cs="Tahoma"/>
                <w:sz w:val="20"/>
                <w:szCs w:val="20"/>
                <w:lang w:val="en-GB"/>
              </w:rPr>
              <w:t>o</w:t>
            </w:r>
            <w:r w:rsidRPr="00AE1E65">
              <w:rPr>
                <w:rFonts w:ascii="Tahoma" w:hAnsi="Tahoma" w:cs="Tahoma"/>
                <w:sz w:val="20"/>
                <w:szCs w:val="20"/>
                <w:lang w:val="en-GB"/>
              </w:rPr>
              <w:t>fessional</w:t>
            </w:r>
            <w:r w:rsidR="005425A2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 studies </w:t>
            </w:r>
            <w:r w:rsidR="00F95376" w:rsidRPr="00AE1E65">
              <w:rPr>
                <w:rFonts w:ascii="Tahoma" w:hAnsi="Tahoma" w:cs="Tahoma"/>
                <w:sz w:val="20"/>
                <w:szCs w:val="20"/>
                <w:lang w:val="en-GB"/>
              </w:rPr>
              <w:t>offer the student</w:t>
            </w:r>
            <w:r w:rsidR="00047649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 a deeper insi</w:t>
            </w:r>
            <w:r w:rsidR="005425A2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ght into the essential </w:t>
            </w:r>
            <w:r w:rsidR="00CF1D73" w:rsidRPr="00AE1E65">
              <w:rPr>
                <w:rFonts w:ascii="Tahoma" w:hAnsi="Tahoma" w:cs="Tahoma"/>
                <w:sz w:val="20"/>
                <w:szCs w:val="20"/>
                <w:lang w:val="en-GB"/>
              </w:rPr>
              <w:t>range of problems and applications and into their scientif</w:t>
            </w:r>
            <w:r w:rsidR="00F95376" w:rsidRPr="00AE1E65">
              <w:rPr>
                <w:rFonts w:ascii="Tahoma" w:hAnsi="Tahoma" w:cs="Tahoma"/>
                <w:sz w:val="20"/>
                <w:szCs w:val="20"/>
                <w:lang w:val="en-GB"/>
              </w:rPr>
              <w:t>ic foundations. They give the</w:t>
            </w:r>
            <w:r w:rsidR="00CF1D73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 student</w:t>
            </w:r>
            <w:r w:rsidR="00F95376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 a good base to</w:t>
            </w:r>
            <w:r w:rsidR="00CF1D73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 work independently as a nursing expert, in managerial positions, in development work and as an entrepreneur after graduation. </w:t>
            </w:r>
          </w:p>
        </w:tc>
      </w:tr>
      <w:tr w:rsidR="008D0574" w:rsidRPr="00AE1E65" w:rsidTr="00AE1E65">
        <w:tc>
          <w:tcPr>
            <w:tcW w:w="2122" w:type="dxa"/>
          </w:tcPr>
          <w:p w:rsidR="008D0574" w:rsidRPr="005F28D6" w:rsidRDefault="00013F66" w:rsidP="00013F66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Professional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Studies</w:t>
            </w:r>
            <w:proofErr w:type="spellEnd"/>
            <w:r w:rsidR="008D0574" w:rsidRPr="005F28D6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Internship</w:t>
            </w:r>
            <w:proofErr w:type="spellEnd"/>
          </w:p>
        </w:tc>
        <w:tc>
          <w:tcPr>
            <w:tcW w:w="1067" w:type="dxa"/>
          </w:tcPr>
          <w:p w:rsidR="008D0574" w:rsidRPr="005F28D6" w:rsidRDefault="008D0574" w:rsidP="002C6698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  <w:p w:rsidR="008D0574" w:rsidRPr="005F28D6" w:rsidRDefault="007972CC" w:rsidP="002C6698">
            <w:pPr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7</w:t>
            </w:r>
            <w:r w:rsidR="008D0574" w:rsidRPr="005F28D6">
              <w:rPr>
                <w:rFonts w:ascii="Tahoma" w:eastAsia="Calibri" w:hAnsi="Tahoma" w:cs="Tahoma"/>
                <w:sz w:val="20"/>
                <w:szCs w:val="20"/>
              </w:rPr>
              <w:t>5</w:t>
            </w:r>
            <w:r w:rsidR="00AE1E6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5B57EA">
              <w:rPr>
                <w:rFonts w:ascii="Tahoma" w:eastAsia="Calibri" w:hAnsi="Tahoma" w:cs="Tahoma"/>
                <w:sz w:val="20"/>
                <w:szCs w:val="20"/>
              </w:rPr>
              <w:t>ECTS</w:t>
            </w:r>
          </w:p>
          <w:p w:rsidR="008D0574" w:rsidRPr="005F28D6" w:rsidRDefault="008D0574" w:rsidP="002C6698">
            <w:pPr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6665" w:type="dxa"/>
          </w:tcPr>
          <w:p w:rsidR="002B1B94" w:rsidRPr="00AE1E65" w:rsidRDefault="00F95376" w:rsidP="00AE1E65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E1E65">
              <w:rPr>
                <w:rFonts w:ascii="Tahoma" w:hAnsi="Tahoma" w:cs="Tahoma"/>
                <w:sz w:val="20"/>
                <w:szCs w:val="20"/>
                <w:lang w:val="en-GB"/>
              </w:rPr>
              <w:t>The aim of internship is to introduce the student to the practical work and to the choice, use and application of different working method</w:t>
            </w:r>
            <w:r w:rsidR="006A57F7" w:rsidRPr="00AE1E65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 and practices. </w:t>
            </w:r>
            <w:r w:rsidR="006A57F7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student learns to improve </w:t>
            </w:r>
            <w:r w:rsidR="00BF47B2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quality of his or her work and to create new problem-solving methods in a client-oriented manner. </w:t>
            </w:r>
            <w:r w:rsidR="00597852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Internship prepares the student for the </w:t>
            </w:r>
            <w:r w:rsidR="005903D0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requirements of the </w:t>
            </w:r>
            <w:r w:rsidR="00597852" w:rsidRPr="00AE1E65">
              <w:rPr>
                <w:rFonts w:ascii="Tahoma" w:hAnsi="Tahoma" w:cs="Tahoma"/>
                <w:sz w:val="20"/>
                <w:szCs w:val="20"/>
                <w:lang w:val="en-GB"/>
              </w:rPr>
              <w:t>working life</w:t>
            </w:r>
            <w:r w:rsidR="005903D0"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597852" w:rsidRPr="00AE1E65">
              <w:rPr>
                <w:rFonts w:ascii="Tahoma" w:hAnsi="Tahoma" w:cs="Tahoma"/>
                <w:sz w:val="20"/>
                <w:szCs w:val="20"/>
                <w:lang w:val="en-GB"/>
              </w:rPr>
              <w:t>as it deepens his or her professional competence, skills and knowledge and enhances his or her employment opportunities in his or her own field and specialty area.</w:t>
            </w:r>
            <w:r w:rsidRPr="00AE1E65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</w:tc>
      </w:tr>
      <w:tr w:rsidR="00663B10" w:rsidRPr="005B57EA" w:rsidTr="00AE1E65">
        <w:tc>
          <w:tcPr>
            <w:tcW w:w="2122" w:type="dxa"/>
          </w:tcPr>
          <w:p w:rsidR="00663B10" w:rsidRPr="005F28D6" w:rsidRDefault="00047649" w:rsidP="00013F66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Advanced</w:t>
            </w:r>
            <w:r w:rsidR="00013F66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Professional </w:t>
            </w:r>
            <w:proofErr w:type="spellStart"/>
            <w:r w:rsidR="00013F66">
              <w:rPr>
                <w:rFonts w:ascii="Tahoma" w:eastAsia="Calibri" w:hAnsi="Tahoma" w:cs="Tahoma"/>
                <w:b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1067" w:type="dxa"/>
          </w:tcPr>
          <w:p w:rsidR="00663B10" w:rsidRPr="005F28D6" w:rsidRDefault="005B57EA" w:rsidP="002C6698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</w:t>
            </w:r>
            <w:r w:rsidR="00AE1E6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</w:rPr>
              <w:t>ECTS</w:t>
            </w:r>
          </w:p>
        </w:tc>
        <w:tc>
          <w:tcPr>
            <w:tcW w:w="6665" w:type="dxa"/>
          </w:tcPr>
          <w:p w:rsidR="00767BFC" w:rsidRPr="002E301B" w:rsidRDefault="00047649" w:rsidP="005903D0">
            <w:pPr>
              <w:spacing w:before="120" w:after="120" w:line="240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E301B">
              <w:rPr>
                <w:rFonts w:ascii="Tahoma" w:hAnsi="Tahoma" w:cs="Tahoma"/>
                <w:sz w:val="20"/>
                <w:szCs w:val="20"/>
                <w:lang w:val="en-GB"/>
              </w:rPr>
              <w:t>Advanced professional studies deepen the expertise development in the stud</w:t>
            </w:r>
            <w:r w:rsidR="005903D0" w:rsidRPr="002E301B">
              <w:rPr>
                <w:rFonts w:ascii="Tahoma" w:hAnsi="Tahoma" w:cs="Tahoma"/>
                <w:sz w:val="20"/>
                <w:szCs w:val="20"/>
                <w:lang w:val="en-GB"/>
              </w:rPr>
              <w:t>ent’s specialty area of nursing. The studies combine both theoretical and practical aspects.</w:t>
            </w:r>
          </w:p>
        </w:tc>
      </w:tr>
      <w:tr w:rsidR="008D0574" w:rsidRPr="00AE1E65" w:rsidTr="00AE1E65">
        <w:tc>
          <w:tcPr>
            <w:tcW w:w="2122" w:type="dxa"/>
          </w:tcPr>
          <w:p w:rsidR="008D0574" w:rsidRPr="005F28D6" w:rsidRDefault="00013F66" w:rsidP="002C6698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Thesis</w:t>
            </w:r>
            <w:proofErr w:type="spellEnd"/>
          </w:p>
          <w:p w:rsidR="008D0574" w:rsidRPr="005F28D6" w:rsidRDefault="008D0574" w:rsidP="002C6698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1067" w:type="dxa"/>
          </w:tcPr>
          <w:p w:rsidR="008D0574" w:rsidRPr="005F28D6" w:rsidRDefault="0010640B" w:rsidP="002C6698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</w:t>
            </w:r>
            <w:r w:rsidR="00AE1E6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</w:rPr>
              <w:t>ECTS</w:t>
            </w:r>
          </w:p>
        </w:tc>
        <w:tc>
          <w:tcPr>
            <w:tcW w:w="6665" w:type="dxa"/>
          </w:tcPr>
          <w:p w:rsidR="00047649" w:rsidRPr="002E301B" w:rsidRDefault="00047649" w:rsidP="002B1B94">
            <w:pPr>
              <w:spacing w:before="120" w:after="120" w:line="240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Thesis is a working-life-oriented learning process for the student as it </w:t>
            </w:r>
            <w:proofErr w:type="gramStart"/>
            <w:r w:rsidR="00901D01"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is supervised</w:t>
            </w:r>
            <w:r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, guided and evaluated by professionals</w:t>
            </w:r>
            <w:proofErr w:type="gramEnd"/>
            <w:r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. </w:t>
            </w:r>
            <w:r w:rsidR="00B81102"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The aim of the thesis is to improve</w:t>
            </w:r>
            <w:r w:rsidR="00B41B9A"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the viability of worki</w:t>
            </w:r>
            <w:r w:rsidR="005903D0"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ng life and at the same time </w:t>
            </w:r>
            <w:r w:rsidR="00B41B9A"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deepen the professional skills and knowledge of the student in the chosen topic. A thesis can be research-based, practise-based or </w:t>
            </w:r>
            <w:r w:rsidR="005903D0"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an </w:t>
            </w:r>
            <w:r w:rsidR="00B41B9A" w:rsidRPr="003617C1">
              <w:rPr>
                <w:rFonts w:ascii="Tahoma" w:eastAsia="Calibri" w:hAnsi="Tahoma" w:cs="Tahoma"/>
                <w:sz w:val="20"/>
                <w:szCs w:val="20"/>
                <w:lang w:val="en-GB"/>
              </w:rPr>
              <w:t>expression of subjective creativity</w:t>
            </w:r>
            <w:r w:rsidR="00B41B9A"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. </w:t>
            </w:r>
            <w:r w:rsidR="004E6B98"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In the thesis process the student is responsible for</w:t>
            </w:r>
          </w:p>
          <w:p w:rsidR="004E6B98" w:rsidRPr="002E301B" w:rsidRDefault="001975C9" w:rsidP="004E6B98">
            <w:pPr>
              <w:pStyle w:val="Luettelokappale"/>
              <w:numPr>
                <w:ilvl w:val="0"/>
                <w:numId w:val="3"/>
              </w:numPr>
              <w:spacing w:before="120" w:after="120" w:line="240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f</w:t>
            </w:r>
            <w:r w:rsidR="004E6B98"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inding a thesis topic integrated with working</w:t>
            </w:r>
            <w:r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-</w:t>
            </w:r>
            <w:r w:rsidR="004E6B98"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 xml:space="preserve"> life</w:t>
            </w:r>
          </w:p>
          <w:p w:rsidR="001975C9" w:rsidRPr="002E301B" w:rsidRDefault="001975C9" w:rsidP="004E6B98">
            <w:pPr>
              <w:pStyle w:val="Luettelokappale"/>
              <w:numPr>
                <w:ilvl w:val="0"/>
                <w:numId w:val="3"/>
              </w:numPr>
              <w:spacing w:before="120" w:after="120" w:line="240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increasing his or her knowledge in the subject field and creating the framework for the assignment</w:t>
            </w:r>
          </w:p>
          <w:p w:rsidR="001975C9" w:rsidRPr="002E301B" w:rsidRDefault="001975C9" w:rsidP="004E6B98">
            <w:pPr>
              <w:pStyle w:val="Luettelokappale"/>
              <w:numPr>
                <w:ilvl w:val="0"/>
                <w:numId w:val="3"/>
              </w:numPr>
              <w:spacing w:before="120" w:after="120" w:line="240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completing the assignment and reporting on the process and outcomes</w:t>
            </w:r>
          </w:p>
          <w:p w:rsidR="001975C9" w:rsidRPr="002E301B" w:rsidRDefault="001975C9" w:rsidP="004E6B98">
            <w:pPr>
              <w:pStyle w:val="Luettelokappale"/>
              <w:numPr>
                <w:ilvl w:val="0"/>
                <w:numId w:val="3"/>
              </w:numPr>
              <w:spacing w:before="120" w:after="120" w:line="240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finalising the thesis and drafting information material</w:t>
            </w:r>
          </w:p>
          <w:p w:rsidR="002B1B94" w:rsidRPr="002E301B" w:rsidRDefault="003A3308" w:rsidP="005903D0">
            <w:pPr>
              <w:spacing w:before="120" w:after="120" w:line="240" w:lineRule="auto"/>
              <w:rPr>
                <w:rFonts w:ascii="Tahoma" w:eastAsia="Calibri" w:hAnsi="Tahoma" w:cs="Tahoma"/>
                <w:color w:val="4BACC6"/>
                <w:sz w:val="20"/>
                <w:szCs w:val="20"/>
                <w:lang w:val="en-GB"/>
              </w:rPr>
            </w:pPr>
            <w:r w:rsidRPr="002E301B">
              <w:rPr>
                <w:rFonts w:ascii="Tahoma" w:eastAsia="Calibri" w:hAnsi="Tahoma" w:cs="Tahoma"/>
                <w:sz w:val="20"/>
                <w:szCs w:val="20"/>
                <w:lang w:val="en-GB"/>
              </w:rPr>
              <w:t>The thesis offers a flexible way of entering the working-life and a good opportunity for networking in the field.</w:t>
            </w:r>
          </w:p>
        </w:tc>
      </w:tr>
      <w:tr w:rsidR="007972CC" w:rsidRPr="00AE1E65" w:rsidTr="00AE1E65">
        <w:tc>
          <w:tcPr>
            <w:tcW w:w="2122" w:type="dxa"/>
          </w:tcPr>
          <w:p w:rsidR="007972CC" w:rsidRPr="005F28D6" w:rsidRDefault="00013F66" w:rsidP="00013F66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Alternative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1067" w:type="dxa"/>
          </w:tcPr>
          <w:p w:rsidR="007972CC" w:rsidRDefault="00AE7F51" w:rsidP="002C6698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10</w:t>
            </w:r>
            <w:r w:rsidR="00AE1E6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</w:rPr>
              <w:t>ECTS</w:t>
            </w:r>
          </w:p>
        </w:tc>
        <w:tc>
          <w:tcPr>
            <w:tcW w:w="6665" w:type="dxa"/>
          </w:tcPr>
          <w:p w:rsidR="007972CC" w:rsidRPr="002E301B" w:rsidRDefault="003376D8" w:rsidP="00AE1E65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Alternative studies </w:t>
            </w:r>
            <w:r w:rsidR="0068474D" w:rsidRPr="002E301B">
              <w:rPr>
                <w:rFonts w:ascii="Tahoma" w:hAnsi="Tahoma" w:cs="Tahoma"/>
                <w:sz w:val="20"/>
                <w:szCs w:val="20"/>
                <w:lang w:val="en-GB"/>
              </w:rPr>
              <w:t>direct</w:t>
            </w:r>
            <w:r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 and support the development of the student’s expertise according to his or her interests. </w:t>
            </w:r>
            <w:r w:rsidR="0068059E" w:rsidRPr="002E301B">
              <w:rPr>
                <w:rFonts w:ascii="Tahoma" w:hAnsi="Tahoma" w:cs="Tahoma"/>
                <w:sz w:val="20"/>
                <w:szCs w:val="20"/>
                <w:lang w:val="en-GB"/>
              </w:rPr>
              <w:t>The student can choose</w:t>
            </w:r>
            <w:r w:rsidR="00140937"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 courses</w:t>
            </w:r>
            <w:r w:rsidR="0068059E"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140937"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from </w:t>
            </w:r>
            <w:r w:rsidRPr="002E301B">
              <w:rPr>
                <w:rFonts w:ascii="Tahoma" w:hAnsi="Tahoma" w:cs="Tahoma"/>
                <w:sz w:val="20"/>
                <w:szCs w:val="20"/>
                <w:lang w:val="en-GB"/>
              </w:rPr>
              <w:t>joint study module</w:t>
            </w:r>
            <w:r w:rsidR="0068059E" w:rsidRPr="002E301B">
              <w:rPr>
                <w:rFonts w:ascii="Tahoma" w:hAnsi="Tahoma" w:cs="Tahoma"/>
                <w:sz w:val="20"/>
                <w:szCs w:val="20"/>
                <w:lang w:val="en-GB"/>
              </w:rPr>
              <w:t>s</w:t>
            </w:r>
            <w:r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 at Savonia UAS or</w:t>
            </w:r>
            <w:r w:rsidR="00140937"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 courses</w:t>
            </w:r>
            <w:r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 that </w:t>
            </w:r>
            <w:proofErr w:type="gramStart"/>
            <w:r w:rsidRPr="002E301B">
              <w:rPr>
                <w:rFonts w:ascii="Tahoma" w:hAnsi="Tahoma" w:cs="Tahoma"/>
                <w:sz w:val="20"/>
                <w:szCs w:val="20"/>
                <w:lang w:val="en-GB"/>
              </w:rPr>
              <w:t>are arranged</w:t>
            </w:r>
            <w:proofErr w:type="gramEnd"/>
            <w:r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 by other faculties at Savonia UAS or </w:t>
            </w:r>
            <w:r w:rsidR="0068474D"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by </w:t>
            </w:r>
            <w:r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other </w:t>
            </w:r>
            <w:r w:rsidR="0068474D" w:rsidRPr="002E301B">
              <w:rPr>
                <w:rFonts w:ascii="Tahoma" w:hAnsi="Tahoma" w:cs="Tahoma"/>
                <w:sz w:val="20"/>
                <w:szCs w:val="20"/>
                <w:lang w:val="en-GB"/>
              </w:rPr>
              <w:t xml:space="preserve">schools or </w:t>
            </w:r>
            <w:r w:rsidRPr="002E301B">
              <w:rPr>
                <w:rFonts w:ascii="Tahoma" w:hAnsi="Tahoma" w:cs="Tahoma"/>
                <w:sz w:val="20"/>
                <w:szCs w:val="20"/>
                <w:lang w:val="en-GB"/>
              </w:rPr>
              <w:t>universities</w:t>
            </w:r>
            <w:r w:rsidR="0068474D" w:rsidRPr="002E301B">
              <w:rPr>
                <w:rFonts w:ascii="Tahoma" w:hAnsi="Tahoma" w:cs="Tahoma"/>
                <w:sz w:val="20"/>
                <w:szCs w:val="20"/>
                <w:lang w:val="en-GB"/>
              </w:rPr>
              <w:t>. The studies arranged elsewhere have to correspond to the level of studies in higher education</w:t>
            </w:r>
            <w:r w:rsidR="004B25C1" w:rsidRPr="002E301B">
              <w:rPr>
                <w:rFonts w:ascii="Tahoma" w:hAnsi="Tahoma" w:cs="Tahoma"/>
                <w:sz w:val="20"/>
                <w:szCs w:val="20"/>
                <w:lang w:val="en-GB"/>
              </w:rPr>
              <w:t>.</w:t>
            </w:r>
          </w:p>
        </w:tc>
      </w:tr>
      <w:tr w:rsidR="008D0574" w:rsidRPr="005F28D6" w:rsidTr="00AE1E65">
        <w:tc>
          <w:tcPr>
            <w:tcW w:w="2122" w:type="dxa"/>
          </w:tcPr>
          <w:p w:rsidR="008D0574" w:rsidRPr="005F28D6" w:rsidRDefault="00013F66" w:rsidP="002C6698">
            <w:pPr>
              <w:spacing w:before="240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067" w:type="dxa"/>
          </w:tcPr>
          <w:p w:rsidR="008D0574" w:rsidRPr="005F28D6" w:rsidRDefault="00C9114E" w:rsidP="002C6698">
            <w:pPr>
              <w:spacing w:before="240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210</w:t>
            </w:r>
            <w:r w:rsidR="00AE1E65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344429">
              <w:rPr>
                <w:rFonts w:ascii="Tahoma" w:eastAsia="Calibri" w:hAnsi="Tahoma" w:cs="Tahoma"/>
                <w:sz w:val="20"/>
                <w:szCs w:val="20"/>
              </w:rPr>
              <w:t>ECTS</w:t>
            </w:r>
          </w:p>
        </w:tc>
        <w:tc>
          <w:tcPr>
            <w:tcW w:w="6665" w:type="dxa"/>
          </w:tcPr>
          <w:p w:rsidR="008D0574" w:rsidRPr="002E301B" w:rsidRDefault="008D0574" w:rsidP="002C6698">
            <w:pPr>
              <w:spacing w:before="240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</w:p>
        </w:tc>
      </w:tr>
    </w:tbl>
    <w:p w:rsidR="00A15669" w:rsidRPr="005F28D6" w:rsidRDefault="00A15669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A15669" w:rsidRPr="005F28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D7CCA"/>
    <w:multiLevelType w:val="hybridMultilevel"/>
    <w:tmpl w:val="2504862A"/>
    <w:lvl w:ilvl="0" w:tplc="6C96562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7C6195"/>
    <w:multiLevelType w:val="hybridMultilevel"/>
    <w:tmpl w:val="FA2AA24C"/>
    <w:lvl w:ilvl="0" w:tplc="D3666794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B6ABA"/>
    <w:multiLevelType w:val="hybridMultilevel"/>
    <w:tmpl w:val="5C5CB6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74"/>
    <w:rsid w:val="00013F66"/>
    <w:rsid w:val="00047649"/>
    <w:rsid w:val="00094099"/>
    <w:rsid w:val="000A45E5"/>
    <w:rsid w:val="000D3698"/>
    <w:rsid w:val="0010640B"/>
    <w:rsid w:val="00140937"/>
    <w:rsid w:val="001975C9"/>
    <w:rsid w:val="00264747"/>
    <w:rsid w:val="002910D2"/>
    <w:rsid w:val="002B1B94"/>
    <w:rsid w:val="002E301B"/>
    <w:rsid w:val="003376D8"/>
    <w:rsid w:val="00344429"/>
    <w:rsid w:val="003617C1"/>
    <w:rsid w:val="003A3308"/>
    <w:rsid w:val="004421A6"/>
    <w:rsid w:val="004B25C1"/>
    <w:rsid w:val="004E6B98"/>
    <w:rsid w:val="005425A2"/>
    <w:rsid w:val="005641CC"/>
    <w:rsid w:val="005903D0"/>
    <w:rsid w:val="00597852"/>
    <w:rsid w:val="005B57EA"/>
    <w:rsid w:val="005F28D6"/>
    <w:rsid w:val="00601DFE"/>
    <w:rsid w:val="00653FE0"/>
    <w:rsid w:val="00663B10"/>
    <w:rsid w:val="00673C2D"/>
    <w:rsid w:val="0068059E"/>
    <w:rsid w:val="0068474D"/>
    <w:rsid w:val="006A57F7"/>
    <w:rsid w:val="007300B8"/>
    <w:rsid w:val="00733137"/>
    <w:rsid w:val="00767BFC"/>
    <w:rsid w:val="007972CC"/>
    <w:rsid w:val="00813152"/>
    <w:rsid w:val="00827C7E"/>
    <w:rsid w:val="008A4EA1"/>
    <w:rsid w:val="008D0574"/>
    <w:rsid w:val="00901D01"/>
    <w:rsid w:val="00A11082"/>
    <w:rsid w:val="00A15669"/>
    <w:rsid w:val="00A16F46"/>
    <w:rsid w:val="00AE1E65"/>
    <w:rsid w:val="00AE7F51"/>
    <w:rsid w:val="00B32297"/>
    <w:rsid w:val="00B41B9A"/>
    <w:rsid w:val="00B81102"/>
    <w:rsid w:val="00BD5670"/>
    <w:rsid w:val="00BF47B2"/>
    <w:rsid w:val="00C9114E"/>
    <w:rsid w:val="00CF1D73"/>
    <w:rsid w:val="00D32823"/>
    <w:rsid w:val="00EA24D0"/>
    <w:rsid w:val="00F177FA"/>
    <w:rsid w:val="00F95376"/>
    <w:rsid w:val="00F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03DC"/>
  <w15:docId w15:val="{D29BE32D-69D0-4377-A55B-A281D681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D057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7C7E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5903D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903D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903D0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903D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903D0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9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90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2017-08-15T21:00:00+00:00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SAVONIA-618487683-29</_dlc_DocId>
    <_dlc_DocIdUrl xmlns="03ca75a4-7525-4fd0-b461-2a607204cfe9">
      <Url>https://santra.savonia.fi/tiimit/hyvin/sairaanhoitajatensihoitajat/_layouts/DocIdRedir.aspx?ID=SAVONIA-618487683-29</Url>
      <Description>SAVONIA-618487683-29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AB0DEBB5FEC4BE40979D561416E2DA3C" ma:contentTypeVersion="0" ma:contentTypeDescription="Luo uusi asiakirja." ma:contentTypeScope="" ma:versionID="c2df92ba5984e947ab02e75e84525a7e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2E124-56EB-4B8D-B2F0-2B758897E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628B9-21D1-4D23-B605-11FD4F7055D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67BA4A-2F6B-4EF8-8394-896852C9D867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03ca75a4-7525-4fd0-b461-2a607204cfe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2421F1-674F-4C1B-9E83-0106E8682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D19E99-66B0-4D47-9AB8-46628A180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2436</Characters>
  <Application>Microsoft Office Word</Application>
  <DocSecurity>4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2</cp:revision>
  <dcterms:created xsi:type="dcterms:W3CDTF">2017-12-01T07:09:00Z</dcterms:created>
  <dcterms:modified xsi:type="dcterms:W3CDTF">2017-12-01T07:09:00Z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0x0101007C99A6B7AEA5684BA478728D451E0C6F00AB0DEBB5FEC4BE40979D561416E2DA3C</vt:lpwstr>
  </property>
  <property fmtid="{D5CDD505-2E9C-101B-9397-08002B2CF9AE}" pid="3" name="_dlc_DocIdItemGuid">
    <vt:lpwstr>3cbc81a8-86e5-406d-b55f-7221b77b43de</vt:lpwstr>
  </property>
  <property fmtid="{D5CDD505-2E9C-101B-9397-08002B2CF9AE}" pid="4" name="Asiasanat">
    <vt:lpwstr/>
  </property>
</Properties>
</file>