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D0574" w:rsidRPr="005F28D6" w14:paraId="573A022A" w14:textId="77777777" w:rsidTr="002C6698">
        <w:tc>
          <w:tcPr>
            <w:tcW w:w="2093" w:type="dxa"/>
            <w:shd w:val="clear" w:color="auto" w:fill="31A3B5"/>
          </w:tcPr>
          <w:p w14:paraId="573A0227" w14:textId="77777777" w:rsidR="008D0574" w:rsidRPr="005F28D6" w:rsidRDefault="008D0574" w:rsidP="002C6698">
            <w:pPr>
              <w:spacing w:before="240"/>
              <w:rPr>
                <w:rFonts w:ascii="Tahoma" w:eastAsia="Calibri" w:hAnsi="Tahoma" w:cs="Tahoma"/>
                <w:b/>
                <w:color w:val="FFFFFF"/>
                <w:sz w:val="20"/>
                <w:szCs w:val="20"/>
              </w:rPr>
            </w:pPr>
            <w:bookmarkStart w:id="0" w:name="_GoBack"/>
            <w:bookmarkEnd w:id="0"/>
          </w:p>
        </w:tc>
        <w:tc>
          <w:tcPr>
            <w:tcW w:w="1134" w:type="dxa"/>
            <w:shd w:val="clear" w:color="auto" w:fill="31A3B5"/>
          </w:tcPr>
          <w:p w14:paraId="573A0228"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 xml:space="preserve">Laajuus </w:t>
            </w:r>
          </w:p>
        </w:tc>
        <w:tc>
          <w:tcPr>
            <w:tcW w:w="6551" w:type="dxa"/>
            <w:shd w:val="clear" w:color="auto" w:fill="31A3B5"/>
          </w:tcPr>
          <w:p w14:paraId="573A0229"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Luonnehdinta opinnoista lyhyesti</w:t>
            </w:r>
          </w:p>
        </w:tc>
      </w:tr>
      <w:tr w:rsidR="008D0574" w:rsidRPr="005F28D6" w14:paraId="573A022E" w14:textId="77777777" w:rsidTr="002C6698">
        <w:tc>
          <w:tcPr>
            <w:tcW w:w="2093" w:type="dxa"/>
          </w:tcPr>
          <w:p w14:paraId="573A022B"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 xml:space="preserve">Perusopinnot  </w:t>
            </w:r>
            <w:r w:rsidRPr="005F28D6">
              <w:rPr>
                <w:rFonts w:ascii="Tahoma" w:eastAsia="Calibri" w:hAnsi="Tahoma" w:cs="Tahoma"/>
                <w:b/>
                <w:sz w:val="20"/>
                <w:szCs w:val="20"/>
              </w:rPr>
              <w:tab/>
            </w:r>
          </w:p>
        </w:tc>
        <w:tc>
          <w:tcPr>
            <w:tcW w:w="1134" w:type="dxa"/>
          </w:tcPr>
          <w:p w14:paraId="573A022C" w14:textId="6B3A1141" w:rsidR="008D0574" w:rsidRPr="005F28D6" w:rsidRDefault="00A11082" w:rsidP="002C6698">
            <w:pPr>
              <w:spacing w:before="240"/>
              <w:rPr>
                <w:rFonts w:ascii="Tahoma" w:eastAsia="Calibri" w:hAnsi="Tahoma" w:cs="Tahoma"/>
                <w:sz w:val="20"/>
                <w:szCs w:val="20"/>
              </w:rPr>
            </w:pPr>
            <w:r>
              <w:rPr>
                <w:rFonts w:ascii="Tahoma" w:eastAsia="Calibri" w:hAnsi="Tahoma" w:cs="Tahoma"/>
                <w:sz w:val="20"/>
                <w:szCs w:val="20"/>
              </w:rPr>
              <w:t>30</w:t>
            </w:r>
          </w:p>
        </w:tc>
        <w:tc>
          <w:tcPr>
            <w:tcW w:w="6551" w:type="dxa"/>
          </w:tcPr>
          <w:p w14:paraId="573A022D" w14:textId="2C277667" w:rsidR="002B1B94" w:rsidRPr="00264747" w:rsidRDefault="00A11082" w:rsidP="00264747">
            <w:pPr>
              <w:rPr>
                <w:rFonts w:ascii="Tahoma" w:hAnsi="Tahoma" w:cs="Tahoma"/>
                <w:iCs/>
                <w:sz w:val="20"/>
                <w:szCs w:val="20"/>
              </w:rPr>
            </w:pPr>
            <w:r w:rsidRPr="00264747">
              <w:rPr>
                <w:rFonts w:ascii="Tahoma" w:hAnsi="Tahoma" w:cs="Tahoma"/>
                <w:iCs/>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8D0574" w:rsidRPr="005F28D6" w14:paraId="573A0233" w14:textId="77777777" w:rsidTr="002C6698">
        <w:tc>
          <w:tcPr>
            <w:tcW w:w="2093" w:type="dxa"/>
          </w:tcPr>
          <w:p w14:paraId="573A022F"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teoriaopinnot</w:t>
            </w:r>
          </w:p>
        </w:tc>
        <w:tc>
          <w:tcPr>
            <w:tcW w:w="1134" w:type="dxa"/>
          </w:tcPr>
          <w:p w14:paraId="573A0230" w14:textId="77777777" w:rsidR="008D0574" w:rsidRPr="005F28D6" w:rsidRDefault="008D0574" w:rsidP="002C6698">
            <w:pPr>
              <w:rPr>
                <w:rFonts w:ascii="Tahoma" w:eastAsia="Calibri" w:hAnsi="Tahoma" w:cs="Tahoma"/>
                <w:sz w:val="20"/>
                <w:szCs w:val="20"/>
              </w:rPr>
            </w:pPr>
          </w:p>
          <w:p w14:paraId="573A0231" w14:textId="58350678" w:rsidR="008D0574" w:rsidRPr="005F28D6" w:rsidRDefault="00D32823" w:rsidP="002C6698">
            <w:pPr>
              <w:rPr>
                <w:rFonts w:ascii="Tahoma" w:eastAsia="Calibri" w:hAnsi="Tahoma" w:cs="Tahoma"/>
                <w:sz w:val="20"/>
                <w:szCs w:val="20"/>
              </w:rPr>
            </w:pPr>
            <w:r>
              <w:rPr>
                <w:rFonts w:ascii="Tahoma" w:eastAsia="Calibri" w:hAnsi="Tahoma" w:cs="Tahoma"/>
                <w:sz w:val="20"/>
                <w:szCs w:val="20"/>
              </w:rPr>
              <w:t>60</w:t>
            </w:r>
          </w:p>
        </w:tc>
        <w:tc>
          <w:tcPr>
            <w:tcW w:w="6551" w:type="dxa"/>
          </w:tcPr>
          <w:p w14:paraId="573A0232" w14:textId="4984D84C" w:rsidR="002B1B94" w:rsidRPr="005F28D6" w:rsidRDefault="008D0574" w:rsidP="002B1B94">
            <w:pPr>
              <w:spacing w:before="240"/>
              <w:rPr>
                <w:rFonts w:ascii="Tahoma" w:eastAsia="Calibri" w:hAnsi="Tahoma" w:cs="Tahoma"/>
                <w:sz w:val="20"/>
                <w:szCs w:val="20"/>
              </w:rPr>
            </w:pPr>
            <w:r w:rsidRPr="005F28D6">
              <w:rPr>
                <w:rFonts w:ascii="Tahoma" w:eastAsia="Calibri" w:hAnsi="Tahoma" w:cs="Tahoma"/>
                <w:sz w:val="20"/>
                <w:szCs w:val="20"/>
              </w:rPr>
              <w:t>Ammattiopinnoissa opis</w:t>
            </w:r>
            <w:r w:rsidR="007300B8">
              <w:rPr>
                <w:rFonts w:ascii="Tahoma" w:eastAsia="Calibri" w:hAnsi="Tahoma" w:cs="Tahoma"/>
                <w:sz w:val="20"/>
                <w:szCs w:val="20"/>
              </w:rPr>
              <w:t xml:space="preserve">kelija perehtyy </w:t>
            </w:r>
            <w:r w:rsidRPr="005F28D6">
              <w:rPr>
                <w:rFonts w:ascii="Tahoma" w:eastAsia="Calibri" w:hAnsi="Tahoma" w:cs="Tahoma"/>
                <w:sz w:val="20"/>
                <w:szCs w:val="20"/>
              </w:rPr>
              <w:t>sairaanhoitajan tehtäväalueen keskeisiin ongelmakokonaisuuksiin ja sovellutuksiin sekä niiden</w:t>
            </w:r>
            <w:r w:rsidR="002B1B94" w:rsidRPr="005F28D6">
              <w:rPr>
                <w:rFonts w:ascii="Tahoma" w:eastAsia="Calibri" w:hAnsi="Tahoma" w:cs="Tahoma"/>
                <w:sz w:val="20"/>
                <w:szCs w:val="20"/>
              </w:rPr>
              <w:t xml:space="preserve"> tieteellisiin perusteisiin, jotta</w:t>
            </w:r>
            <w:r w:rsidRPr="005F28D6">
              <w:rPr>
                <w:rFonts w:ascii="Tahoma" w:eastAsia="Calibri" w:hAnsi="Tahoma" w:cs="Tahoma"/>
                <w:sz w:val="20"/>
                <w:szCs w:val="20"/>
              </w:rPr>
              <w:t xml:space="preserve"> hän kykenee valmistuttuaan työskentele</w:t>
            </w:r>
            <w:r w:rsidR="007300B8">
              <w:rPr>
                <w:rFonts w:ascii="Tahoma" w:eastAsia="Calibri" w:hAnsi="Tahoma" w:cs="Tahoma"/>
                <w:sz w:val="20"/>
                <w:szCs w:val="20"/>
              </w:rPr>
              <w:t xml:space="preserve">mään itsenäisesti </w:t>
            </w:r>
            <w:r w:rsidRPr="005F28D6">
              <w:rPr>
                <w:rFonts w:ascii="Tahoma" w:eastAsia="Calibri" w:hAnsi="Tahoma" w:cs="Tahoma"/>
                <w:sz w:val="20"/>
                <w:szCs w:val="20"/>
              </w:rPr>
              <w:t>hoitotyön asiantuntijana</w:t>
            </w:r>
            <w:r w:rsidR="002B1B94" w:rsidRPr="005F28D6">
              <w:rPr>
                <w:rFonts w:ascii="Tahoma" w:eastAsia="Calibri" w:hAnsi="Tahoma" w:cs="Tahoma"/>
                <w:sz w:val="20"/>
                <w:szCs w:val="20"/>
              </w:rPr>
              <w:t xml:space="preserve">, </w:t>
            </w:r>
            <w:r w:rsidRPr="005F28D6">
              <w:rPr>
                <w:rFonts w:ascii="Tahoma" w:eastAsia="Calibri" w:hAnsi="Tahoma" w:cs="Tahoma"/>
                <w:sz w:val="20"/>
                <w:szCs w:val="20"/>
              </w:rPr>
              <w:t>esimiestehtävissä, kehitystehtävissä ja yrittäjänä.</w:t>
            </w:r>
          </w:p>
        </w:tc>
      </w:tr>
      <w:tr w:rsidR="008D0574" w:rsidRPr="005F28D6" w14:paraId="573A0239" w14:textId="77777777" w:rsidTr="002C6698">
        <w:tc>
          <w:tcPr>
            <w:tcW w:w="2093" w:type="dxa"/>
          </w:tcPr>
          <w:p w14:paraId="573A0234"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harjoittelu</w:t>
            </w:r>
          </w:p>
        </w:tc>
        <w:tc>
          <w:tcPr>
            <w:tcW w:w="1134" w:type="dxa"/>
          </w:tcPr>
          <w:p w14:paraId="573A0235" w14:textId="77777777" w:rsidR="008D0574" w:rsidRPr="005F28D6" w:rsidRDefault="008D0574" w:rsidP="002C6698">
            <w:pPr>
              <w:rPr>
                <w:rFonts w:ascii="Tahoma" w:eastAsia="Calibri" w:hAnsi="Tahoma" w:cs="Tahoma"/>
                <w:sz w:val="20"/>
                <w:szCs w:val="20"/>
              </w:rPr>
            </w:pPr>
          </w:p>
          <w:p w14:paraId="573A0236" w14:textId="1298CD4F" w:rsidR="008D0574" w:rsidRPr="005F28D6" w:rsidRDefault="007972CC" w:rsidP="002C6698">
            <w:pPr>
              <w:rPr>
                <w:rFonts w:ascii="Tahoma" w:eastAsia="Calibri" w:hAnsi="Tahoma" w:cs="Tahoma"/>
                <w:sz w:val="20"/>
                <w:szCs w:val="20"/>
              </w:rPr>
            </w:pPr>
            <w:r>
              <w:rPr>
                <w:rFonts w:ascii="Tahoma" w:eastAsia="Calibri" w:hAnsi="Tahoma" w:cs="Tahoma"/>
                <w:sz w:val="20"/>
                <w:szCs w:val="20"/>
              </w:rPr>
              <w:t>7</w:t>
            </w:r>
            <w:r w:rsidR="008D0574" w:rsidRPr="005F28D6">
              <w:rPr>
                <w:rFonts w:ascii="Tahoma" w:eastAsia="Calibri" w:hAnsi="Tahoma" w:cs="Tahoma"/>
                <w:sz w:val="20"/>
                <w:szCs w:val="20"/>
              </w:rPr>
              <w:t>5</w:t>
            </w:r>
          </w:p>
          <w:p w14:paraId="573A0237" w14:textId="77777777" w:rsidR="008D0574" w:rsidRPr="005F28D6" w:rsidRDefault="008D0574" w:rsidP="002C6698">
            <w:pPr>
              <w:rPr>
                <w:rFonts w:ascii="Tahoma" w:eastAsia="Calibri" w:hAnsi="Tahoma" w:cs="Tahoma"/>
                <w:sz w:val="20"/>
                <w:szCs w:val="20"/>
              </w:rPr>
            </w:pPr>
          </w:p>
        </w:tc>
        <w:tc>
          <w:tcPr>
            <w:tcW w:w="6551" w:type="dxa"/>
          </w:tcPr>
          <w:p w14:paraId="573A0238" w14:textId="77777777" w:rsidR="002B1B94" w:rsidRPr="005F28D6" w:rsidRDefault="008D0574" w:rsidP="002B1B94">
            <w:pPr>
              <w:autoSpaceDE w:val="0"/>
              <w:autoSpaceDN w:val="0"/>
              <w:spacing w:before="240"/>
              <w:rPr>
                <w:rFonts w:ascii="Tahoma" w:eastAsia="Calibri" w:hAnsi="Tahoma" w:cs="Tahoma"/>
                <w:iCs/>
                <w:sz w:val="20"/>
                <w:szCs w:val="20"/>
              </w:rPr>
            </w:pPr>
            <w:r w:rsidRPr="005F28D6">
              <w:rPr>
                <w:rFonts w:ascii="Tahoma" w:eastAsia="Calibri"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8D0574" w:rsidRPr="005F28D6" w14:paraId="573A0243" w14:textId="77777777" w:rsidTr="002C6698">
        <w:tc>
          <w:tcPr>
            <w:tcW w:w="2093" w:type="dxa"/>
          </w:tcPr>
          <w:p w14:paraId="573A023A"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Opinnäytetyö</w:t>
            </w:r>
          </w:p>
          <w:p w14:paraId="573A023B" w14:textId="77777777" w:rsidR="008D0574" w:rsidRPr="005F28D6" w:rsidRDefault="008D0574" w:rsidP="002C6698">
            <w:pPr>
              <w:spacing w:before="240"/>
              <w:rPr>
                <w:rFonts w:ascii="Tahoma" w:eastAsia="Calibri" w:hAnsi="Tahoma" w:cs="Tahoma"/>
                <w:sz w:val="20"/>
                <w:szCs w:val="20"/>
              </w:rPr>
            </w:pPr>
          </w:p>
        </w:tc>
        <w:tc>
          <w:tcPr>
            <w:tcW w:w="1134" w:type="dxa"/>
          </w:tcPr>
          <w:p w14:paraId="573A023C" w14:textId="77777777" w:rsidR="008D0574" w:rsidRPr="005F28D6" w:rsidRDefault="008D0574" w:rsidP="002C6698">
            <w:pPr>
              <w:spacing w:before="240"/>
              <w:rPr>
                <w:rFonts w:ascii="Tahoma" w:eastAsia="Calibri" w:hAnsi="Tahoma" w:cs="Tahoma"/>
                <w:sz w:val="20"/>
                <w:szCs w:val="20"/>
              </w:rPr>
            </w:pPr>
            <w:r w:rsidRPr="005F28D6">
              <w:rPr>
                <w:rFonts w:ascii="Tahoma" w:eastAsia="Calibri" w:hAnsi="Tahoma" w:cs="Tahoma"/>
                <w:sz w:val="20"/>
                <w:szCs w:val="20"/>
              </w:rPr>
              <w:t>15 op</w:t>
            </w:r>
          </w:p>
        </w:tc>
        <w:tc>
          <w:tcPr>
            <w:tcW w:w="6551" w:type="dxa"/>
          </w:tcPr>
          <w:p w14:paraId="573A023D" w14:textId="77777777" w:rsidR="002B1B94" w:rsidRPr="005F28D6" w:rsidRDefault="002B1B94" w:rsidP="002B1B94">
            <w:pPr>
              <w:spacing w:before="120" w:after="120" w:line="240" w:lineRule="auto"/>
              <w:rPr>
                <w:rFonts w:ascii="Tahoma" w:eastAsia="Calibri" w:hAnsi="Tahoma" w:cs="Tahoma"/>
                <w:sz w:val="20"/>
                <w:szCs w:val="20"/>
              </w:rPr>
            </w:pPr>
            <w:r w:rsidRPr="005F28D6">
              <w:rPr>
                <w:rFonts w:ascii="Tahoma" w:eastAsia="Calibri"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573A023E"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opinnäytetyöidean ja työelämäyhteyden hakemisesta</w:t>
            </w:r>
          </w:p>
          <w:p w14:paraId="573A023F"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opinnäytetyön tehtäväalueeseen perehtymisestä ja tehtävän asettamisesta</w:t>
            </w:r>
          </w:p>
          <w:p w14:paraId="573A0240"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asetetun tehtävän suorittamisesta ja raportoinnista</w:t>
            </w:r>
          </w:p>
          <w:p w14:paraId="573A0241"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opinnäytetyön viimeistelystä ja tiedotusmateriaalin laatimisesta.</w:t>
            </w:r>
          </w:p>
          <w:p w14:paraId="573A0242" w14:textId="77777777" w:rsidR="002B1B94" w:rsidRPr="005F28D6" w:rsidRDefault="002B1B94" w:rsidP="004421A6">
            <w:pPr>
              <w:spacing w:after="0" w:line="240" w:lineRule="auto"/>
              <w:contextualSpacing/>
              <w:rPr>
                <w:rFonts w:ascii="Tahoma" w:eastAsia="Calibri" w:hAnsi="Tahoma" w:cs="Tahoma"/>
                <w:color w:val="4BACC6"/>
                <w:sz w:val="20"/>
                <w:szCs w:val="20"/>
              </w:rPr>
            </w:pPr>
            <w:r w:rsidRPr="005F28D6">
              <w:rPr>
                <w:rFonts w:ascii="Tahoma" w:eastAsia="Calibri" w:hAnsi="Tahoma" w:cs="Tahoma"/>
                <w:sz w:val="20"/>
                <w:szCs w:val="20"/>
              </w:rPr>
              <w:t>Opinnäytetyö tarjoaa joustavan portin siirtyä työelämään ja hyvän mahdollisuuden verkottua omalla alalla.</w:t>
            </w:r>
          </w:p>
        </w:tc>
      </w:tr>
      <w:tr w:rsidR="008D0574" w:rsidRPr="005F28D6" w14:paraId="573A0248" w14:textId="77777777" w:rsidTr="002C6698">
        <w:tc>
          <w:tcPr>
            <w:tcW w:w="2093" w:type="dxa"/>
          </w:tcPr>
          <w:p w14:paraId="573A0245" w14:textId="7712FFE8" w:rsidR="008D0574" w:rsidRPr="00F177FA" w:rsidRDefault="00F177FA" w:rsidP="002C6698">
            <w:pPr>
              <w:spacing w:before="240"/>
              <w:rPr>
                <w:rFonts w:ascii="Tahoma" w:eastAsia="Calibri" w:hAnsi="Tahoma" w:cs="Tahoma"/>
                <w:b/>
                <w:sz w:val="20"/>
                <w:szCs w:val="20"/>
              </w:rPr>
            </w:pPr>
            <w:r>
              <w:rPr>
                <w:rFonts w:ascii="Tahoma" w:eastAsia="Calibri" w:hAnsi="Tahoma" w:cs="Tahoma"/>
                <w:b/>
                <w:sz w:val="20"/>
                <w:szCs w:val="20"/>
              </w:rPr>
              <w:t>Syventävät ammattiopinnot</w:t>
            </w:r>
          </w:p>
        </w:tc>
        <w:tc>
          <w:tcPr>
            <w:tcW w:w="1134" w:type="dxa"/>
          </w:tcPr>
          <w:p w14:paraId="573A0246" w14:textId="6D3B951D" w:rsidR="008D0574" w:rsidRPr="005F28D6" w:rsidRDefault="00F177FA" w:rsidP="002C6698">
            <w:pPr>
              <w:spacing w:before="240"/>
              <w:rPr>
                <w:rFonts w:ascii="Tahoma" w:eastAsia="Calibri" w:hAnsi="Tahoma" w:cs="Tahoma"/>
                <w:sz w:val="20"/>
                <w:szCs w:val="20"/>
              </w:rPr>
            </w:pPr>
            <w:r>
              <w:rPr>
                <w:rFonts w:ascii="Tahoma" w:eastAsia="Calibri" w:hAnsi="Tahoma" w:cs="Tahoma"/>
                <w:sz w:val="20"/>
                <w:szCs w:val="20"/>
              </w:rPr>
              <w:t>2</w:t>
            </w:r>
            <w:r w:rsidR="00C9114E">
              <w:rPr>
                <w:rFonts w:ascii="Tahoma" w:eastAsia="Calibri" w:hAnsi="Tahoma" w:cs="Tahoma"/>
                <w:sz w:val="20"/>
                <w:szCs w:val="20"/>
              </w:rPr>
              <w:t>0</w:t>
            </w:r>
            <w:r w:rsidR="008D0574" w:rsidRPr="005F28D6">
              <w:rPr>
                <w:rFonts w:ascii="Tahoma" w:eastAsia="Calibri" w:hAnsi="Tahoma" w:cs="Tahoma"/>
                <w:sz w:val="20"/>
                <w:szCs w:val="20"/>
              </w:rPr>
              <w:t xml:space="preserve"> op</w:t>
            </w:r>
          </w:p>
        </w:tc>
        <w:tc>
          <w:tcPr>
            <w:tcW w:w="6551" w:type="dxa"/>
          </w:tcPr>
          <w:p w14:paraId="573A0247" w14:textId="219AE357" w:rsidR="008D0574" w:rsidRPr="005F28D6" w:rsidRDefault="00F177FA" w:rsidP="00F177FA">
            <w:pPr>
              <w:spacing w:before="240"/>
              <w:rPr>
                <w:rFonts w:ascii="Tahoma" w:eastAsia="Calibri" w:hAnsi="Tahoma" w:cs="Tahoma"/>
                <w:sz w:val="20"/>
                <w:szCs w:val="20"/>
              </w:rPr>
            </w:pPr>
            <w:r>
              <w:rPr>
                <w:rFonts w:ascii="Tahoma" w:hAnsi="Tahoma" w:cs="Tahoma"/>
                <w:sz w:val="20"/>
                <w:szCs w:val="20"/>
              </w:rPr>
              <w:t xml:space="preserve">Syventävät ammattiopinnot </w:t>
            </w:r>
            <w:r w:rsidR="00653FE0">
              <w:rPr>
                <w:rFonts w:ascii="Tahoma" w:hAnsi="Tahoma" w:cs="Tahoma"/>
                <w:sz w:val="20"/>
                <w:szCs w:val="20"/>
              </w:rPr>
              <w:t xml:space="preserve">syventävät </w:t>
            </w:r>
            <w:r w:rsidR="008D0574" w:rsidRPr="005F28D6">
              <w:rPr>
                <w:rFonts w:ascii="Tahoma" w:hAnsi="Tahoma" w:cs="Tahoma"/>
                <w:sz w:val="20"/>
                <w:szCs w:val="20"/>
              </w:rPr>
              <w:t>asiantuntijuud</w:t>
            </w:r>
            <w:r w:rsidR="00FC7B0E">
              <w:rPr>
                <w:rFonts w:ascii="Tahoma" w:hAnsi="Tahoma" w:cs="Tahoma"/>
                <w:sz w:val="20"/>
                <w:szCs w:val="20"/>
              </w:rPr>
              <w:t xml:space="preserve">en kehittymistä </w:t>
            </w:r>
            <w:r w:rsidR="008D0574" w:rsidRPr="005F28D6">
              <w:rPr>
                <w:rFonts w:ascii="Tahoma" w:hAnsi="Tahoma" w:cs="Tahoma"/>
                <w:sz w:val="20"/>
                <w:szCs w:val="20"/>
              </w:rPr>
              <w:t xml:space="preserve">opiskelijan </w:t>
            </w:r>
            <w:r>
              <w:rPr>
                <w:rFonts w:ascii="Tahoma" w:hAnsi="Tahoma" w:cs="Tahoma"/>
                <w:sz w:val="20"/>
                <w:szCs w:val="20"/>
              </w:rPr>
              <w:t>valitsemalla hoitotyön alueella sekä teoriaopinnoissa että harjoittelussa.</w:t>
            </w:r>
          </w:p>
        </w:tc>
      </w:tr>
      <w:tr w:rsidR="007972CC" w:rsidRPr="005F28D6" w14:paraId="41CB4661" w14:textId="77777777" w:rsidTr="002C6698">
        <w:tc>
          <w:tcPr>
            <w:tcW w:w="2093" w:type="dxa"/>
          </w:tcPr>
          <w:p w14:paraId="623ECBD4" w14:textId="69B5A928" w:rsidR="007972CC" w:rsidRPr="005F28D6" w:rsidRDefault="00F177FA" w:rsidP="002C6698">
            <w:pPr>
              <w:spacing w:before="240"/>
              <w:rPr>
                <w:rFonts w:ascii="Tahoma" w:eastAsia="Calibri" w:hAnsi="Tahoma" w:cs="Tahoma"/>
                <w:b/>
                <w:sz w:val="20"/>
                <w:szCs w:val="20"/>
              </w:rPr>
            </w:pPr>
            <w:r>
              <w:rPr>
                <w:rFonts w:ascii="Tahoma" w:eastAsia="Calibri" w:hAnsi="Tahoma" w:cs="Tahoma"/>
                <w:b/>
                <w:sz w:val="20"/>
                <w:szCs w:val="20"/>
              </w:rPr>
              <w:lastRenderedPageBreak/>
              <w:t>Valinnaiset opinnot</w:t>
            </w:r>
          </w:p>
        </w:tc>
        <w:tc>
          <w:tcPr>
            <w:tcW w:w="1134" w:type="dxa"/>
          </w:tcPr>
          <w:p w14:paraId="1E1E6BDE" w14:textId="488E8B24" w:rsidR="007972CC" w:rsidRDefault="00F177FA" w:rsidP="002C6698">
            <w:pPr>
              <w:spacing w:before="240"/>
              <w:rPr>
                <w:rFonts w:ascii="Tahoma" w:eastAsia="Calibri" w:hAnsi="Tahoma" w:cs="Tahoma"/>
                <w:sz w:val="20"/>
                <w:szCs w:val="20"/>
              </w:rPr>
            </w:pPr>
            <w:r>
              <w:rPr>
                <w:rFonts w:ascii="Tahoma" w:eastAsia="Calibri" w:hAnsi="Tahoma" w:cs="Tahoma"/>
                <w:sz w:val="20"/>
                <w:szCs w:val="20"/>
              </w:rPr>
              <w:t>10p</w:t>
            </w:r>
          </w:p>
        </w:tc>
        <w:tc>
          <w:tcPr>
            <w:tcW w:w="6551" w:type="dxa"/>
          </w:tcPr>
          <w:p w14:paraId="101CF40D" w14:textId="1DCFFDAE" w:rsidR="007972CC" w:rsidRPr="00673C2D" w:rsidRDefault="00673C2D" w:rsidP="00673C2D">
            <w:pPr>
              <w:spacing w:before="240"/>
              <w:rPr>
                <w:rFonts w:ascii="Tahoma" w:hAnsi="Tahoma" w:cs="Tahoma"/>
                <w:sz w:val="20"/>
                <w:szCs w:val="20"/>
              </w:rPr>
            </w:pPr>
            <w:r>
              <w:rPr>
                <w:rFonts w:ascii="Tahoma" w:hAnsi="Tahoma" w:cs="Tahoma"/>
                <w:sz w:val="20"/>
                <w:szCs w:val="20"/>
              </w:rPr>
              <w:t>V</w:t>
            </w:r>
            <w:r w:rsidR="00653FE0" w:rsidRPr="00673C2D">
              <w:rPr>
                <w:rFonts w:ascii="Tahoma" w:hAnsi="Tahoma" w:cs="Tahoma"/>
                <w:sz w:val="20"/>
                <w:szCs w:val="20"/>
              </w:rPr>
              <w:t xml:space="preserve">alinnaiset ammattiopinnot suuntaavat ja tukevat asiantuntijuuden kehittymistä opiskelijan kiinnostuksen mukaan. </w:t>
            </w:r>
            <w:r w:rsidR="00F177FA" w:rsidRPr="00673C2D">
              <w:rPr>
                <w:rFonts w:ascii="Tahoma" w:hAnsi="Tahoma" w:cs="Tahoma"/>
                <w:sz w:val="20"/>
                <w:szCs w:val="20"/>
              </w:rPr>
              <w:t>Opiskelija voi valita opintoja Savonian yhteisistä opintokokonaisuuksista ja muista tutkinto-ohjelmista tai sisällyttää tutkintoonsa muualla suoritettuja saman tasoisia opintoja.</w:t>
            </w:r>
          </w:p>
        </w:tc>
      </w:tr>
      <w:tr w:rsidR="008D0574" w:rsidRPr="005F28D6" w14:paraId="573A024C" w14:textId="77777777" w:rsidTr="002C6698">
        <w:tc>
          <w:tcPr>
            <w:tcW w:w="2093" w:type="dxa"/>
          </w:tcPr>
          <w:p w14:paraId="573A0249"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Yhteensä</w:t>
            </w:r>
          </w:p>
        </w:tc>
        <w:tc>
          <w:tcPr>
            <w:tcW w:w="1134" w:type="dxa"/>
          </w:tcPr>
          <w:p w14:paraId="573A024A" w14:textId="7EEFB6CF" w:rsidR="008D0574" w:rsidRPr="005F28D6" w:rsidRDefault="00C9114E" w:rsidP="002C6698">
            <w:pPr>
              <w:spacing w:before="240"/>
              <w:rPr>
                <w:rFonts w:ascii="Tahoma" w:eastAsia="Calibri" w:hAnsi="Tahoma" w:cs="Tahoma"/>
                <w:sz w:val="20"/>
                <w:szCs w:val="20"/>
              </w:rPr>
            </w:pPr>
            <w:r>
              <w:rPr>
                <w:rFonts w:ascii="Tahoma" w:eastAsia="Calibri" w:hAnsi="Tahoma" w:cs="Tahoma"/>
                <w:sz w:val="20"/>
                <w:szCs w:val="20"/>
              </w:rPr>
              <w:t>210</w:t>
            </w:r>
            <w:r w:rsidR="008D0574" w:rsidRPr="005F28D6">
              <w:rPr>
                <w:rFonts w:ascii="Tahoma" w:eastAsia="Calibri" w:hAnsi="Tahoma" w:cs="Tahoma"/>
                <w:sz w:val="20"/>
                <w:szCs w:val="20"/>
              </w:rPr>
              <w:t xml:space="preserve"> op</w:t>
            </w:r>
          </w:p>
        </w:tc>
        <w:tc>
          <w:tcPr>
            <w:tcW w:w="6551" w:type="dxa"/>
          </w:tcPr>
          <w:p w14:paraId="573A024B" w14:textId="77777777" w:rsidR="008D0574" w:rsidRPr="005F28D6" w:rsidRDefault="008D0574" w:rsidP="002C6698">
            <w:pPr>
              <w:spacing w:before="240"/>
              <w:rPr>
                <w:rFonts w:ascii="Tahoma" w:eastAsia="Calibri" w:hAnsi="Tahoma" w:cs="Tahoma"/>
                <w:sz w:val="20"/>
                <w:szCs w:val="20"/>
              </w:rPr>
            </w:pPr>
          </w:p>
        </w:tc>
      </w:tr>
    </w:tbl>
    <w:p w14:paraId="573A024D" w14:textId="77777777" w:rsidR="00A15669" w:rsidRPr="005F28D6" w:rsidRDefault="00A15669">
      <w:pPr>
        <w:rPr>
          <w:rFonts w:ascii="Tahoma" w:hAnsi="Tahoma" w:cs="Tahoma"/>
          <w:sz w:val="20"/>
          <w:szCs w:val="20"/>
        </w:rPr>
      </w:pPr>
    </w:p>
    <w:sectPr w:rsidR="00A15669" w:rsidRPr="005F28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5B6ABA"/>
    <w:multiLevelType w:val="hybridMultilevel"/>
    <w:tmpl w:val="5C5CB6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74"/>
    <w:rsid w:val="00094099"/>
    <w:rsid w:val="000A45E5"/>
    <w:rsid w:val="000E3EAA"/>
    <w:rsid w:val="00264747"/>
    <w:rsid w:val="002B1B94"/>
    <w:rsid w:val="004421A6"/>
    <w:rsid w:val="005F28D6"/>
    <w:rsid w:val="00601DFE"/>
    <w:rsid w:val="00653FE0"/>
    <w:rsid w:val="00673C2D"/>
    <w:rsid w:val="007300B8"/>
    <w:rsid w:val="00733137"/>
    <w:rsid w:val="007972CC"/>
    <w:rsid w:val="00827C7E"/>
    <w:rsid w:val="008D0574"/>
    <w:rsid w:val="00A11082"/>
    <w:rsid w:val="00A15669"/>
    <w:rsid w:val="00BD5670"/>
    <w:rsid w:val="00C9114E"/>
    <w:rsid w:val="00D32823"/>
    <w:rsid w:val="00F177FA"/>
    <w:rsid w:val="00FC7B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0227"/>
  <w15:docId w15:val="{DE1151DD-07B3-4EC6-B6DF-1BB57BA9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057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27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2017-08-15T21:00:00+00:00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SAVONIA-618487683-29</_dlc_DocId>
    <_dlc_DocIdUrl xmlns="03ca75a4-7525-4fd0-b461-2a607204cfe9">
      <Url>https://santra.savonia.fi/tiimit/hyvin/sairaanhoitajatensihoitajat/_layouts/DocIdRedir.aspx?ID=SAVONIA-618487683-29</Url>
      <Description>SAVONIA-618487683-29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AB0DEBB5FEC4BE40979D561416E2DA3C" ma:contentTypeVersion="0" ma:contentTypeDescription="Luo uusi asiakirja." ma:contentTypeScope="" ma:versionID="c2df92ba5984e947ab02e75e84525a7e">
  <xsd:schema xmlns:xsd="http://www.w3.org/2001/XMLSchema" xmlns:xs="http://www.w3.org/2001/XMLSchema" xmlns:p="http://schemas.microsoft.com/office/2006/metadata/properties" xmlns:ns2="03ca75a4-7525-4fd0-b461-2a607204cfe9" targetNamespace="http://schemas.microsoft.com/office/2006/metadata/properties" ma:root="true" ma:fieldsID="f224149f97a17adb80720ec1d1552c48"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2E124-56EB-4B8D-B2F0-2B758897E10F}">
  <ds:schemaRefs>
    <ds:schemaRef ds:uri="http://schemas.microsoft.com/sharepoint/v3/contenttype/forms"/>
  </ds:schemaRefs>
</ds:datastoreItem>
</file>

<file path=customXml/itemProps2.xml><?xml version="1.0" encoding="utf-8"?>
<ds:datastoreItem xmlns:ds="http://schemas.openxmlformats.org/officeDocument/2006/customXml" ds:itemID="{B52628B9-21D1-4D23-B605-11FD4F7055D7}">
  <ds:schemaRefs>
    <ds:schemaRef ds:uri="http://schemas.microsoft.com/sharepoint/events"/>
  </ds:schemaRefs>
</ds:datastoreItem>
</file>

<file path=customXml/itemProps3.xml><?xml version="1.0" encoding="utf-8"?>
<ds:datastoreItem xmlns:ds="http://schemas.openxmlformats.org/officeDocument/2006/customXml" ds:itemID="{C767BA4A-2F6B-4EF8-8394-896852C9D867}">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3ca75a4-7525-4fd0-b461-2a607204cfe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2421F1-674F-4C1B-9E83-0106E868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2157</Characters>
  <Application>Microsoft Office Word</Application>
  <DocSecurity>4</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Marja Kopeli</cp:lastModifiedBy>
  <cp:revision>2</cp:revision>
  <dcterms:created xsi:type="dcterms:W3CDTF">2018-02-21T12:50:00Z</dcterms:created>
  <dcterms:modified xsi:type="dcterms:W3CDTF">2018-02-21T12:50:00Z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0x0101007C99A6B7AEA5684BA478728D451E0C6F00AB0DEBB5FEC4BE40979D561416E2DA3C</vt:lpwstr>
  </property>
  <property fmtid="{D5CDD505-2E9C-101B-9397-08002B2CF9AE}" pid="3" name="_dlc_DocIdItemGuid">
    <vt:lpwstr>3cbc81a8-86e5-406d-b55f-7221b77b43de</vt:lpwstr>
  </property>
  <property fmtid="{D5CDD505-2E9C-101B-9397-08002B2CF9AE}" pid="4" name="Asiasanat">
    <vt:lpwstr/>
  </property>
</Properties>
</file>