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61" w:rsidRDefault="00586B3C">
      <w:bookmarkStart w:id="0" w:name="_GoBack"/>
      <w:bookmarkEnd w:id="0"/>
      <w:r>
        <w:t>SYS18</w:t>
      </w:r>
      <w:r w:rsidR="00B53961">
        <w:t>SY</w:t>
      </w:r>
      <w:r>
        <w:t>E</w:t>
      </w:r>
      <w:r w:rsidR="00B53961">
        <w:t>_1</w:t>
      </w:r>
    </w:p>
    <w:tbl>
      <w:tblPr>
        <w:tblStyle w:val="TaulukkoRuudukko"/>
        <w:tblW w:w="0" w:type="auto"/>
        <w:tblInd w:w="704" w:type="dxa"/>
        <w:tblLook w:val="04A0" w:firstRow="1" w:lastRow="0" w:firstColumn="1" w:lastColumn="0" w:noHBand="0" w:noVBand="1"/>
      </w:tblPr>
      <w:tblGrid>
        <w:gridCol w:w="2642"/>
        <w:gridCol w:w="6282"/>
      </w:tblGrid>
      <w:tr w:rsidR="00B53961" w:rsidRPr="006F5568" w:rsidTr="00B53961">
        <w:tc>
          <w:tcPr>
            <w:tcW w:w="264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eastAsia="en-GB"/>
              </w:rPr>
            </w:pPr>
            <w:r w:rsidRPr="00B53961">
              <w:rPr>
                <w:rFonts w:eastAsia="Times New Roman"/>
                <w:b/>
                <w:bCs/>
                <w:color w:val="FFFFFF" w:themeColor="background1"/>
                <w:sz w:val="24"/>
                <w:szCs w:val="24"/>
                <w:lang w:val="en-GB"/>
              </w:rPr>
              <w:t>Competence area</w:t>
            </w:r>
          </w:p>
        </w:tc>
        <w:tc>
          <w:tcPr>
            <w:tcW w:w="628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val="en-GB" w:eastAsia="en-GB"/>
              </w:rPr>
            </w:pPr>
            <w:r w:rsidRPr="00B53961">
              <w:rPr>
                <w:rFonts w:eastAsia="Times New Roman"/>
                <w:b/>
                <w:bCs/>
                <w:color w:val="FFFFFF" w:themeColor="background1"/>
                <w:sz w:val="24"/>
                <w:szCs w:val="24"/>
                <w:lang w:val="en-GB"/>
              </w:rPr>
              <w:t xml:space="preserve">Competence at Level 7 </w:t>
            </w:r>
          </w:p>
        </w:tc>
      </w:tr>
      <w:tr w:rsidR="00B53961" w:rsidRPr="00CD688A" w:rsidTr="00B53961">
        <w:tc>
          <w:tcPr>
            <w:tcW w:w="2642" w:type="dxa"/>
          </w:tcPr>
          <w:p w:rsidR="00B53961" w:rsidRPr="00B53961" w:rsidRDefault="00B53961" w:rsidP="00747FF2">
            <w:pPr>
              <w:rPr>
                <w:sz w:val="22"/>
                <w:szCs w:val="22"/>
                <w:lang w:eastAsia="en-GB"/>
              </w:rPr>
            </w:pPr>
            <w:bookmarkStart w:id="1" w:name="_Toc468345811"/>
            <w:r w:rsidRPr="00B53961">
              <w:rPr>
                <w:rFonts w:eastAsia="Times New Roman"/>
                <w:b/>
                <w:bCs/>
                <w:lang w:val="en-GB"/>
              </w:rPr>
              <w:t>Knowledge</w:t>
            </w:r>
            <w:bookmarkEnd w:id="1"/>
          </w:p>
        </w:tc>
        <w:tc>
          <w:tcPr>
            <w:tcW w:w="6282" w:type="dxa"/>
          </w:tcPr>
          <w:p w:rsidR="00B53961" w:rsidRPr="00B53961" w:rsidRDefault="00B53961" w:rsidP="00747FF2">
            <w:pPr>
              <w:autoSpaceDE w:val="0"/>
              <w:autoSpaceDN w:val="0"/>
              <w:adjustRightInd w:val="0"/>
              <w:jc w:val="both"/>
              <w:rPr>
                <w:rFonts w:eastAsia="Times New Roman"/>
                <w:bCs/>
                <w:lang w:val="en-GB"/>
              </w:rPr>
            </w:pPr>
            <w:r w:rsidRPr="00B53961">
              <w:rPr>
                <w:rFonts w:eastAsia="Times New Roman"/>
                <w:bCs/>
                <w:lang w:val="en-GB"/>
              </w:rPr>
              <w:t xml:space="preserve">Possesses comprehensive and highly specialised concepts, methods and knowledge corresponding to the special competence in his/her field, used as the basis for independent thought and/or research. Understands issues pertaining to the field, interfaces between various fields, and evaluates them and new knowledge critically. </w:t>
            </w:r>
          </w:p>
        </w:tc>
      </w:tr>
      <w:tr w:rsidR="00B53961" w:rsidRPr="00047D26"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Working methods and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Has the capability to solve demanding problems in research and innovatio</w:t>
            </w:r>
            <w:r w:rsidR="00CD688A">
              <w:rPr>
                <w:rFonts w:eastAsia="Times New Roman"/>
                <w:bCs/>
                <w:lang w:val="en-GB"/>
              </w:rPr>
              <w:t xml:space="preserve">n activities, where new </w:t>
            </w:r>
            <w:r w:rsidRPr="00B53961">
              <w:rPr>
                <w:rFonts w:eastAsia="Times New Roman"/>
                <w:bCs/>
                <w:lang w:val="en-GB"/>
              </w:rPr>
              <w:t>methods and procedures are developed and knowledge from</w:t>
            </w:r>
            <w:r w:rsidR="00586B3C">
              <w:rPr>
                <w:rFonts w:eastAsia="Times New Roman"/>
                <w:bCs/>
                <w:lang w:val="en-GB"/>
              </w:rPr>
              <w:t xml:space="preserve"> various fields </w:t>
            </w:r>
            <w:proofErr w:type="gramStart"/>
            <w:r w:rsidR="00586B3C">
              <w:rPr>
                <w:rFonts w:eastAsia="Times New Roman"/>
                <w:bCs/>
                <w:lang w:val="en-GB"/>
              </w:rPr>
              <w:t xml:space="preserve">is </w:t>
            </w:r>
            <w:r w:rsidRPr="00B53961">
              <w:rPr>
                <w:rFonts w:eastAsia="Times New Roman"/>
                <w:bCs/>
                <w:lang w:val="en-GB"/>
              </w:rPr>
              <w:t>applied and combined</w:t>
            </w:r>
            <w:proofErr w:type="gramEnd"/>
            <w:r w:rsidRPr="00B53961">
              <w:rPr>
                <w:rFonts w:eastAsia="Times New Roman"/>
                <w:bCs/>
                <w:lang w:val="en-GB"/>
              </w:rPr>
              <w:t>.</w:t>
            </w:r>
          </w:p>
        </w:tc>
      </w:tr>
      <w:tr w:rsidR="00B53961" w:rsidRPr="002675CC"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Responsibility, leadership and entrepreneurship</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work independently in demanding expert duties in the field or as an entrepreneur. Possesses the capability to manage and develop complex, unpredictable and new strategic approaches. Possesses the capability to manage work and/or people.</w:t>
            </w:r>
          </w:p>
        </w:tc>
      </w:tr>
      <w:tr w:rsidR="00B53961" w:rsidRPr="00CD688A" w:rsidTr="00B53961">
        <w:tc>
          <w:tcPr>
            <w:tcW w:w="2642" w:type="dxa"/>
          </w:tcPr>
          <w:p w:rsidR="00B53961" w:rsidRPr="00B53961" w:rsidRDefault="00B53961" w:rsidP="00747FF2">
            <w:pPr>
              <w:rPr>
                <w:rFonts w:eastAsia="Times New Roman"/>
                <w:b/>
                <w:bCs/>
                <w:sz w:val="22"/>
                <w:szCs w:val="22"/>
                <w:lang w:val="en-GB" w:eastAsia="en-GB"/>
              </w:rPr>
            </w:pPr>
            <w:bookmarkStart w:id="2" w:name="_Toc468345812"/>
            <w:r w:rsidRPr="00B53961">
              <w:rPr>
                <w:rFonts w:eastAsia="Times New Roman"/>
                <w:b/>
                <w:bCs/>
                <w:lang w:val="en-GB"/>
              </w:rPr>
              <w:t>Evaluation</w:t>
            </w:r>
            <w:bookmarkEnd w:id="2"/>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evaluate the activities of individuals and groups. Knows how to accumulate knowledge and practices in his/her field and/or take responsibility for the development of others.</w:t>
            </w:r>
          </w:p>
        </w:tc>
      </w:tr>
      <w:tr w:rsidR="00B53961" w:rsidRPr="00CD688A"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Lifelong learning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Possesses the capability for continuous learning. Knows how to communicate verbally and in writing both to audiences in the field and outside it. Is able to communicate at an advanced international level and to interact in one official language and at least one foreign language.</w:t>
            </w:r>
          </w:p>
        </w:tc>
      </w:tr>
    </w:tbl>
    <w:p w:rsidR="00B53961" w:rsidRDefault="00B53961">
      <w:pPr>
        <w:rPr>
          <w:lang w:val="en-US"/>
        </w:rPr>
      </w:pPr>
    </w:p>
    <w:p w:rsidR="00B53961" w:rsidRDefault="00B53961">
      <w:pPr>
        <w:rPr>
          <w:lang w:val="en-US"/>
        </w:rPr>
      </w:pPr>
      <w:r>
        <w:rPr>
          <w:lang w:val="en-US"/>
        </w:rPr>
        <w:t>TYDI17SY_2</w:t>
      </w:r>
    </w:p>
    <w:tbl>
      <w:tblPr>
        <w:tblStyle w:val="TaulukkoRuudukko1"/>
        <w:tblW w:w="8930" w:type="dxa"/>
        <w:tblInd w:w="704" w:type="dxa"/>
        <w:tblLayout w:type="fixed"/>
        <w:tblLook w:val="04A0" w:firstRow="1" w:lastRow="0" w:firstColumn="1" w:lastColumn="0" w:noHBand="0" w:noVBand="1"/>
      </w:tblPr>
      <w:tblGrid>
        <w:gridCol w:w="2665"/>
        <w:gridCol w:w="6265"/>
      </w:tblGrid>
      <w:tr w:rsidR="00B53961" w:rsidRPr="00CD688A" w:rsidTr="00B53961">
        <w:tc>
          <w:tcPr>
            <w:tcW w:w="26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Generic competencies</w:t>
            </w:r>
          </w:p>
        </w:tc>
        <w:tc>
          <w:tcPr>
            <w:tcW w:w="62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Master level 7 - Description of the Competence  </w:t>
            </w:r>
          </w:p>
        </w:tc>
      </w:tr>
      <w:tr w:rsidR="00B53961" w:rsidRPr="00CD688A"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Learning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self-evaluate and develop one’s expertise in a versatile and focused way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retrieve, analyse and produce information and evaluate it critically from the point of view of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taking responsibility for collaborative learning in a target-oriented way</w:t>
            </w:r>
          </w:p>
        </w:tc>
      </w:tr>
      <w:tr w:rsidR="00B53961" w:rsidRPr="00CD688A"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Ethical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xml:space="preserve">- is able to take responsibility for </w:t>
            </w:r>
            <w:r w:rsidR="00586B3C">
              <w:rPr>
                <w:rFonts w:ascii="Tahoma" w:hAnsi="Tahoma" w:cs="Tahoma"/>
                <w:bCs/>
                <w:sz w:val="20"/>
                <w:szCs w:val="20"/>
                <w:lang w:val="en-GB"/>
              </w:rPr>
              <w:t xml:space="preserve">one’s </w:t>
            </w:r>
            <w:r w:rsidRPr="00B53961">
              <w:rPr>
                <w:rFonts w:ascii="Tahoma" w:hAnsi="Tahoma" w:cs="Tahoma"/>
                <w:bCs/>
                <w:sz w:val="20"/>
                <w:szCs w:val="20"/>
                <w:lang w:val="en-GB"/>
              </w:rPr>
              <w:t>actions and for the consequences of these actions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apply the ethical principles of the subject field as an expert and as a developer of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make decisions considering an individual and the community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equality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sustainable development and social responsibility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leading socially influential activities based on ethical values</w:t>
            </w:r>
          </w:p>
        </w:tc>
      </w:tr>
      <w:tr w:rsidR="00B53961" w:rsidRPr="00CD688A" w:rsidTr="00B53961">
        <w:tc>
          <w:tcPr>
            <w:tcW w:w="2665" w:type="dxa"/>
          </w:tcPr>
          <w:p w:rsidR="00B53961" w:rsidRPr="00B53961" w:rsidRDefault="00B53961" w:rsidP="00B53961">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Working community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the operations of a work community</w:t>
            </w:r>
            <w:r w:rsidR="00586B3C">
              <w:rPr>
                <w:rFonts w:ascii="Tahoma" w:hAnsi="Tahoma" w:cs="Tahoma"/>
                <w:bCs/>
                <w:sz w:val="20"/>
                <w:szCs w:val="20"/>
                <w:lang w:val="en-GB"/>
              </w:rPr>
              <w:t xml:space="preserve"> and enhance wellbeing at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multidisciplinary communication and interaction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utilize ICT in one’s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networks and partnerships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management and supervision tasks and is able to improve activities in complicated and unpredictable environments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lastRenderedPageBreak/>
              <w:t>- is able to work as an expert or entrepreneur and has abilities for management and supervision tasks</w:t>
            </w:r>
          </w:p>
        </w:tc>
      </w:tr>
      <w:tr w:rsidR="00B53961" w:rsidRPr="00CD688A"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lastRenderedPageBreak/>
              <w:t>Innovation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manage research, development and innovation projects and masters the methods of research and development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new information and improve working methods by combining expertise from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service user-oriented, sustainable and profitable solutions</w:t>
            </w:r>
          </w:p>
        </w:tc>
      </w:tr>
      <w:tr w:rsidR="00B53961" w:rsidRPr="00CD688A" w:rsidTr="00B53961">
        <w:trPr>
          <w:trHeight w:val="56"/>
        </w:trPr>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Internationalisation competence</w:t>
            </w:r>
          </w:p>
        </w:tc>
        <w:tc>
          <w:tcPr>
            <w:tcW w:w="6265" w:type="dxa"/>
          </w:tcPr>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capable of international communication in one’s work and in the development of operations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operate in international environments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predict the effects of and opportunities for internationalization development in one’s own field</w:t>
            </w:r>
          </w:p>
        </w:tc>
      </w:tr>
    </w:tbl>
    <w:p w:rsidR="00B53961" w:rsidRDefault="00B53961">
      <w:pPr>
        <w:rPr>
          <w:lang w:val="en-US"/>
        </w:rPr>
      </w:pPr>
    </w:p>
    <w:p w:rsidR="00B53961" w:rsidRDefault="00D75217">
      <w:pPr>
        <w:rPr>
          <w:lang w:val="en-US"/>
        </w:rPr>
      </w:pPr>
      <w:r>
        <w:rPr>
          <w:lang w:val="en-US"/>
        </w:rPr>
        <w:t>SYSI18</w:t>
      </w:r>
      <w:r w:rsidR="00B53961">
        <w:rPr>
          <w:lang w:val="en-US"/>
        </w:rPr>
        <w:t>SY</w:t>
      </w:r>
      <w:r>
        <w:rPr>
          <w:lang w:val="en-US"/>
        </w:rPr>
        <w:t>E</w:t>
      </w:r>
      <w:r w:rsidR="00B53961">
        <w:rPr>
          <w:lang w:val="en-US"/>
        </w:rPr>
        <w:t>_3</w:t>
      </w:r>
    </w:p>
    <w:tbl>
      <w:tblPr>
        <w:tblStyle w:val="TaulukkoRuudukko1"/>
        <w:tblW w:w="8930" w:type="dxa"/>
        <w:tblInd w:w="704" w:type="dxa"/>
        <w:tblLook w:val="04A0" w:firstRow="1" w:lastRow="0" w:firstColumn="1" w:lastColumn="0" w:noHBand="0" w:noVBand="1"/>
      </w:tblPr>
      <w:tblGrid>
        <w:gridCol w:w="2693"/>
        <w:gridCol w:w="6237"/>
      </w:tblGrid>
      <w:tr w:rsidR="00B53961" w:rsidRPr="00CD688A" w:rsidTr="00B53961">
        <w:tc>
          <w:tcPr>
            <w:tcW w:w="2693" w:type="dxa"/>
            <w:shd w:val="clear" w:color="auto" w:fill="00B0F0"/>
          </w:tcPr>
          <w:p w:rsidR="00B53961" w:rsidRPr="00B53961" w:rsidRDefault="00B53961" w:rsidP="00B53961">
            <w:pPr>
              <w:autoSpaceDE w:val="0"/>
              <w:autoSpaceDN w:val="0"/>
              <w:adjustRightInd w:val="0"/>
              <w:spacing w:before="120" w:after="120"/>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Field specific competences </w:t>
            </w:r>
          </w:p>
        </w:tc>
        <w:tc>
          <w:tcPr>
            <w:tcW w:w="6237" w:type="dxa"/>
            <w:shd w:val="clear" w:color="auto" w:fill="00B0F0"/>
          </w:tcPr>
          <w:p w:rsidR="00B53961" w:rsidRPr="00B53961" w:rsidRDefault="00B53961" w:rsidP="006318C9">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Master level 7 –</w:t>
            </w:r>
            <w:r w:rsidR="006318C9">
              <w:rPr>
                <w:rFonts w:ascii="Tahoma" w:hAnsi="Tahoma" w:cs="Tahoma"/>
                <w:b/>
                <w:bCs/>
                <w:color w:val="FFFFFF"/>
                <w:sz w:val="24"/>
                <w:szCs w:val="24"/>
                <w:lang w:val="en-GB"/>
              </w:rPr>
              <w:t xml:space="preserve"> Description of the Competence </w:t>
            </w:r>
          </w:p>
        </w:tc>
      </w:tr>
      <w:tr w:rsidR="00D75217" w:rsidRPr="00CD688A" w:rsidTr="00B53961">
        <w:tc>
          <w:tcPr>
            <w:tcW w:w="2693" w:type="dxa"/>
          </w:tcPr>
          <w:p w:rsidR="00D75217" w:rsidRPr="00D75217" w:rsidRDefault="00D75217" w:rsidP="00D75217">
            <w:pPr>
              <w:autoSpaceDE w:val="0"/>
              <w:autoSpaceDN w:val="0"/>
              <w:adjustRightInd w:val="0"/>
              <w:rPr>
                <w:rFonts w:ascii="Tahoma" w:hAnsi="Tahoma" w:cs="Tahoma"/>
                <w:b/>
                <w:bCs/>
                <w:sz w:val="20"/>
                <w:szCs w:val="20"/>
                <w:lang w:val="en-GB"/>
              </w:rPr>
            </w:pPr>
            <w:r w:rsidRPr="00D75217">
              <w:rPr>
                <w:rFonts w:ascii="Tahoma" w:hAnsi="Tahoma" w:cs="Tahoma"/>
                <w:b/>
                <w:bCs/>
                <w:sz w:val="20"/>
                <w:szCs w:val="20"/>
                <w:lang w:val="en-GB"/>
              </w:rPr>
              <w:t xml:space="preserve">Expertise competence in social services </w:t>
            </w:r>
          </w:p>
        </w:tc>
        <w:tc>
          <w:tcPr>
            <w:tcW w:w="6237" w:type="dxa"/>
          </w:tcPr>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critically analyse changes in society and globally and anticipate their social effects</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plan, manage and evaluate client case processes and implement comprehensive assessment of their effects</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understands highly specialised concepts, methods and work orientation corresponding to the special competence in social services</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work independently in demanding expert duties in the field</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operate in international networks</w:t>
            </w:r>
          </w:p>
        </w:tc>
      </w:tr>
      <w:tr w:rsidR="00D75217" w:rsidRPr="00CD688A" w:rsidTr="00B53961">
        <w:tc>
          <w:tcPr>
            <w:tcW w:w="2693" w:type="dxa"/>
          </w:tcPr>
          <w:p w:rsidR="00D75217" w:rsidRPr="00D75217" w:rsidRDefault="00D75217" w:rsidP="00D75217">
            <w:pPr>
              <w:autoSpaceDE w:val="0"/>
              <w:autoSpaceDN w:val="0"/>
              <w:adjustRightInd w:val="0"/>
              <w:rPr>
                <w:rFonts w:ascii="Tahoma" w:hAnsi="Tahoma" w:cs="Tahoma"/>
                <w:b/>
                <w:bCs/>
                <w:sz w:val="20"/>
                <w:szCs w:val="20"/>
                <w:lang w:val="en-GB"/>
              </w:rPr>
            </w:pPr>
            <w:r w:rsidRPr="00D75217">
              <w:rPr>
                <w:rFonts w:ascii="Tahoma" w:hAnsi="Tahoma" w:cs="Tahoma"/>
                <w:b/>
                <w:bCs/>
                <w:sz w:val="20"/>
                <w:szCs w:val="20"/>
                <w:lang w:val="en-GB"/>
              </w:rPr>
              <w:t>Research and development  competence</w:t>
            </w:r>
          </w:p>
          <w:p w:rsidR="00D75217" w:rsidRPr="00D75217" w:rsidRDefault="00D75217" w:rsidP="00D75217">
            <w:pPr>
              <w:autoSpaceDE w:val="0"/>
              <w:autoSpaceDN w:val="0"/>
              <w:adjustRightInd w:val="0"/>
              <w:rPr>
                <w:rFonts w:ascii="Tahoma" w:hAnsi="Tahoma" w:cs="Tahoma"/>
                <w:b/>
                <w:bCs/>
                <w:sz w:val="20"/>
                <w:szCs w:val="20"/>
                <w:lang w:val="en-GB"/>
              </w:rPr>
            </w:pPr>
          </w:p>
        </w:tc>
        <w:tc>
          <w:tcPr>
            <w:tcW w:w="6237" w:type="dxa"/>
          </w:tcPr>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critically evaluate the interests of research, development and innovation activities and understand the meaning of ethics in these activities</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manage research and development methods and improve the work in social services by applying practical research methods</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 xml:space="preserve">is able to develop his or her activities and practices of the social field by analysing experience and involving citizens  </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 xml:space="preserve">is able to innovate, prepare and manage projects and evaluate their process and effectiveness </w:t>
            </w:r>
          </w:p>
        </w:tc>
      </w:tr>
      <w:tr w:rsidR="00D75217" w:rsidRPr="00CD688A" w:rsidTr="00B53961">
        <w:tc>
          <w:tcPr>
            <w:tcW w:w="2693" w:type="dxa"/>
          </w:tcPr>
          <w:p w:rsidR="00D75217" w:rsidRPr="00D75217" w:rsidRDefault="00D75217" w:rsidP="00D75217">
            <w:pPr>
              <w:autoSpaceDE w:val="0"/>
              <w:autoSpaceDN w:val="0"/>
              <w:adjustRightInd w:val="0"/>
              <w:rPr>
                <w:rFonts w:ascii="Tahoma" w:hAnsi="Tahoma" w:cs="Tahoma"/>
                <w:b/>
                <w:bCs/>
                <w:sz w:val="20"/>
                <w:szCs w:val="20"/>
                <w:lang w:val="en-GB"/>
              </w:rPr>
            </w:pPr>
            <w:r w:rsidRPr="00D75217">
              <w:rPr>
                <w:rFonts w:ascii="Tahoma" w:hAnsi="Tahoma" w:cs="Tahoma"/>
                <w:b/>
                <w:bCs/>
                <w:sz w:val="20"/>
                <w:szCs w:val="20"/>
                <w:lang w:val="en-GB"/>
              </w:rPr>
              <w:t>Leadership competence</w:t>
            </w:r>
          </w:p>
        </w:tc>
        <w:tc>
          <w:tcPr>
            <w:tcW w:w="6237" w:type="dxa"/>
          </w:tcPr>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understands the principles of strategic thinking and knows quality systems and is able to analyse and apply them</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manages the basics of financial and human resources management and is able to apply them in practice</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is able to direct and develop the activities of a work community and enhance wellbeing at work in collaboration with personnel</w:t>
            </w:r>
          </w:p>
          <w:p w:rsidR="00D75217" w:rsidRPr="00D75217" w:rsidRDefault="00D75217" w:rsidP="00D75217">
            <w:pPr>
              <w:pStyle w:val="Luettelokappale"/>
              <w:numPr>
                <w:ilvl w:val="0"/>
                <w:numId w:val="2"/>
              </w:numPr>
              <w:autoSpaceDE w:val="0"/>
              <w:autoSpaceDN w:val="0"/>
              <w:adjustRightInd w:val="0"/>
              <w:spacing w:line="240" w:lineRule="auto"/>
              <w:jc w:val="both"/>
              <w:rPr>
                <w:rFonts w:cs="Tahoma"/>
                <w:bCs/>
                <w:sz w:val="18"/>
                <w:szCs w:val="18"/>
                <w:lang w:val="en-GB"/>
              </w:rPr>
            </w:pPr>
            <w:r w:rsidRPr="00D75217">
              <w:rPr>
                <w:rFonts w:cs="Tahoma"/>
                <w:bCs/>
                <w:sz w:val="18"/>
                <w:szCs w:val="18"/>
                <w:lang w:val="en-GB"/>
              </w:rPr>
              <w:t xml:space="preserve">is capable of leading skills and competence as well as the development of work practices and services in the social field in complex and unpredictable networks and operating environments </w:t>
            </w:r>
          </w:p>
        </w:tc>
      </w:tr>
    </w:tbl>
    <w:p w:rsidR="00B53961" w:rsidRDefault="00B53961">
      <w:pPr>
        <w:rPr>
          <w:lang w:val="en-US"/>
        </w:rPr>
      </w:pPr>
    </w:p>
    <w:p w:rsidR="001C11D9" w:rsidRDefault="001C11D9">
      <w:pPr>
        <w:rPr>
          <w:lang w:val="en-US"/>
        </w:rPr>
      </w:pPr>
    </w:p>
    <w:p w:rsidR="006318C9" w:rsidRPr="00B53961" w:rsidRDefault="006318C9">
      <w:pPr>
        <w:rPr>
          <w:lang w:val="en-US"/>
        </w:rPr>
      </w:pPr>
      <w:r w:rsidRPr="006318C9">
        <w:rPr>
          <w:noProof/>
          <w:lang w:eastAsia="fi-FI"/>
        </w:rPr>
        <w:t xml:space="preserve">  </w:t>
      </w:r>
    </w:p>
    <w:sectPr w:rsidR="006318C9" w:rsidRPr="00B539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A87AC9D8"/>
    <w:lvl w:ilvl="0" w:tplc="6E309330">
      <w:start w:val="1"/>
      <w:numFmt w:val="bullet"/>
      <w:pStyle w:val="Luettelokappale"/>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825CF"/>
    <w:multiLevelType w:val="hybridMultilevel"/>
    <w:tmpl w:val="B04A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61"/>
    <w:rsid w:val="00047D26"/>
    <w:rsid w:val="001C11D9"/>
    <w:rsid w:val="00296416"/>
    <w:rsid w:val="00586B3C"/>
    <w:rsid w:val="005F2FD7"/>
    <w:rsid w:val="00625210"/>
    <w:rsid w:val="006318C9"/>
    <w:rsid w:val="00726A6C"/>
    <w:rsid w:val="007E1B92"/>
    <w:rsid w:val="00B53961"/>
    <w:rsid w:val="00CD688A"/>
    <w:rsid w:val="00D75217"/>
    <w:rsid w:val="00E72E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9558C-C53A-4E18-9ABA-DEDE53B0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3961"/>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B53961"/>
    <w:pPr>
      <w:spacing w:after="0" w:line="240" w:lineRule="auto"/>
    </w:pPr>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53961"/>
    <w:pPr>
      <w:numPr>
        <w:numId w:val="1"/>
      </w:numPr>
      <w:spacing w:after="0" w:line="360" w:lineRule="auto"/>
      <w:contextualSpacing/>
    </w:pPr>
    <w:rPr>
      <w:rFonts w:ascii="Tahoma" w:eastAsia="Times New Roman" w:hAnsi="Tahoma" w:cs="Times New Roman"/>
      <w:sz w:val="20"/>
      <w:szCs w:val="24"/>
    </w:rPr>
  </w:style>
  <w:style w:type="paragraph" w:customStyle="1" w:styleId="Default">
    <w:name w:val="Default"/>
    <w:rsid w:val="00B53961"/>
    <w:pPr>
      <w:autoSpaceDE w:val="0"/>
      <w:autoSpaceDN w:val="0"/>
      <w:adjustRightInd w:val="0"/>
      <w:spacing w:after="0" w:line="240" w:lineRule="auto"/>
    </w:pPr>
    <w:rPr>
      <w:rFonts w:ascii="Tahoma" w:eastAsia="Tahoma" w:hAnsi="Tahoma" w:cs="Tahoma"/>
      <w:color w:val="000000"/>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4613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2</cp:revision>
  <dcterms:created xsi:type="dcterms:W3CDTF">2019-09-19T09:40:00Z</dcterms:created>
  <dcterms:modified xsi:type="dcterms:W3CDTF">2019-09-19T09:40:00Z</dcterms:modified>
</cp:coreProperties>
</file>