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1134"/>
        <w:gridCol w:w="6551"/>
      </w:tblGrid>
      <w:tr w:rsidR="00F222AA" w:rsidRPr="00C223AC" w:rsidTr="00487186">
        <w:tc>
          <w:tcPr>
            <w:tcW w:w="2093" w:type="dxa"/>
            <w:shd w:val="clear" w:color="auto" w:fill="31A3B5"/>
          </w:tcPr>
          <w:p w:rsidR="00F222AA" w:rsidRPr="00B31AC6" w:rsidRDefault="00F222AA" w:rsidP="00740DB9">
            <w:pPr>
              <w:spacing w:before="240"/>
              <w:rPr>
                <w:rFonts w:cstheme="minorHAnsi"/>
                <w:b/>
                <w:color w:val="FFFFFF" w:themeColor="background1"/>
                <w:sz w:val="28"/>
                <w:szCs w:val="20"/>
              </w:rPr>
            </w:pPr>
            <w:bookmarkStart w:id="0" w:name="_GoBack"/>
            <w:bookmarkEnd w:id="0"/>
          </w:p>
        </w:tc>
        <w:tc>
          <w:tcPr>
            <w:tcW w:w="1134" w:type="dxa"/>
            <w:shd w:val="clear" w:color="auto" w:fill="31A3B5"/>
          </w:tcPr>
          <w:p w:rsidR="00F222AA" w:rsidRPr="00B31AC6" w:rsidRDefault="00F222AA" w:rsidP="00740DB9">
            <w:pPr>
              <w:spacing w:before="240"/>
              <w:rPr>
                <w:rFonts w:cstheme="minorHAnsi"/>
                <w:b/>
                <w:color w:val="FFFFFF" w:themeColor="background1"/>
                <w:sz w:val="28"/>
                <w:szCs w:val="20"/>
              </w:rPr>
            </w:pPr>
            <w:r w:rsidRPr="00B31AC6">
              <w:rPr>
                <w:rFonts w:cstheme="minorHAnsi"/>
                <w:b/>
                <w:color w:val="FFFFFF" w:themeColor="background1"/>
                <w:sz w:val="28"/>
                <w:szCs w:val="20"/>
              </w:rPr>
              <w:t xml:space="preserve">Laajuus </w:t>
            </w:r>
          </w:p>
        </w:tc>
        <w:tc>
          <w:tcPr>
            <w:tcW w:w="6551" w:type="dxa"/>
            <w:shd w:val="clear" w:color="auto" w:fill="31A3B5"/>
          </w:tcPr>
          <w:p w:rsidR="00F222AA" w:rsidRPr="00B31AC6" w:rsidRDefault="00F222AA" w:rsidP="00740DB9">
            <w:pPr>
              <w:spacing w:before="240"/>
              <w:rPr>
                <w:rFonts w:cstheme="minorHAnsi"/>
                <w:b/>
                <w:color w:val="FFFFFF" w:themeColor="background1"/>
                <w:sz w:val="28"/>
                <w:szCs w:val="20"/>
              </w:rPr>
            </w:pPr>
            <w:r w:rsidRPr="00B31AC6">
              <w:rPr>
                <w:rFonts w:cstheme="minorHAnsi"/>
                <w:b/>
                <w:color w:val="FFFFFF" w:themeColor="background1"/>
                <w:sz w:val="28"/>
                <w:szCs w:val="20"/>
              </w:rPr>
              <w:t>Luonnehdinta opinnoista lyhyesti</w:t>
            </w:r>
          </w:p>
        </w:tc>
      </w:tr>
      <w:tr w:rsidR="00F222AA" w:rsidRPr="00C223AC" w:rsidTr="00740DB9">
        <w:tc>
          <w:tcPr>
            <w:tcW w:w="2093" w:type="dxa"/>
          </w:tcPr>
          <w:p w:rsidR="00F222AA" w:rsidRPr="00B31AC6" w:rsidRDefault="00F222AA" w:rsidP="00740DB9">
            <w:pPr>
              <w:spacing w:before="240"/>
              <w:rPr>
                <w:rFonts w:cstheme="minorHAnsi"/>
                <w:b/>
                <w:szCs w:val="20"/>
              </w:rPr>
            </w:pPr>
            <w:r w:rsidRPr="00B31AC6">
              <w:rPr>
                <w:rFonts w:cstheme="minorHAnsi"/>
                <w:b/>
                <w:szCs w:val="20"/>
              </w:rPr>
              <w:t xml:space="preserve">Perusopinnot  </w:t>
            </w:r>
            <w:r w:rsidRPr="00B31AC6">
              <w:rPr>
                <w:rFonts w:cstheme="minorHAnsi"/>
                <w:b/>
                <w:szCs w:val="20"/>
              </w:rPr>
              <w:tab/>
            </w:r>
          </w:p>
        </w:tc>
        <w:tc>
          <w:tcPr>
            <w:tcW w:w="1134" w:type="dxa"/>
          </w:tcPr>
          <w:p w:rsidR="00F222AA" w:rsidRPr="00B31AC6" w:rsidRDefault="00F222AA" w:rsidP="00740DB9">
            <w:pPr>
              <w:spacing w:before="240"/>
              <w:rPr>
                <w:rFonts w:cstheme="minorHAnsi"/>
                <w:szCs w:val="20"/>
              </w:rPr>
            </w:pPr>
            <w:r>
              <w:rPr>
                <w:rFonts w:cstheme="minorHAnsi"/>
                <w:szCs w:val="20"/>
              </w:rPr>
              <w:t>45 op</w:t>
            </w:r>
          </w:p>
        </w:tc>
        <w:tc>
          <w:tcPr>
            <w:tcW w:w="6551" w:type="dxa"/>
          </w:tcPr>
          <w:p w:rsidR="00F222AA" w:rsidRPr="00B31AC6" w:rsidRDefault="00F222AA" w:rsidP="00740DB9">
            <w:pPr>
              <w:spacing w:before="240"/>
              <w:rPr>
                <w:rFonts w:cstheme="minorHAnsi"/>
                <w:szCs w:val="20"/>
              </w:rPr>
            </w:pPr>
            <w:r>
              <w:rPr>
                <w:rFonts w:cstheme="minorHAnsi"/>
                <w:szCs w:val="20"/>
              </w:rPr>
              <w:t>Perusopinnoissa on sekä yleisiä</w:t>
            </w:r>
            <w:r w:rsidRPr="00B31AC6">
              <w:rPr>
                <w:rFonts w:cstheme="minorHAnsi"/>
                <w:szCs w:val="20"/>
              </w:rPr>
              <w:t xml:space="preserve"> </w:t>
            </w:r>
            <w:r>
              <w:rPr>
                <w:rFonts w:cstheme="minorHAnsi"/>
                <w:szCs w:val="20"/>
              </w:rPr>
              <w:t>että ammatillisia opintoja. Ne antavat laajan ammattisivistyksellisen pohjan ammattiopinnoille. Perusopinnoissa on mahdollista suunnata painotusta joko nautakarjatalouteen tai hevostalouteen.</w:t>
            </w:r>
          </w:p>
        </w:tc>
      </w:tr>
      <w:tr w:rsidR="00F222AA" w:rsidRPr="00C223AC" w:rsidTr="00740DB9">
        <w:tc>
          <w:tcPr>
            <w:tcW w:w="2093" w:type="dxa"/>
          </w:tcPr>
          <w:p w:rsidR="00F222AA" w:rsidRPr="00B31AC6" w:rsidRDefault="00F222AA" w:rsidP="00740DB9">
            <w:pPr>
              <w:spacing w:before="240"/>
              <w:rPr>
                <w:rFonts w:cstheme="minorHAnsi"/>
                <w:b/>
                <w:szCs w:val="20"/>
              </w:rPr>
            </w:pPr>
            <w:r w:rsidRPr="00B31AC6">
              <w:rPr>
                <w:rFonts w:cstheme="minorHAnsi"/>
                <w:b/>
                <w:szCs w:val="20"/>
              </w:rPr>
              <w:t>Ammattiopinnot</w:t>
            </w:r>
          </w:p>
        </w:tc>
        <w:tc>
          <w:tcPr>
            <w:tcW w:w="1134" w:type="dxa"/>
          </w:tcPr>
          <w:p w:rsidR="00F222AA" w:rsidRPr="00B31AC6" w:rsidRDefault="00F222AA" w:rsidP="00740DB9">
            <w:pPr>
              <w:spacing w:before="240"/>
              <w:rPr>
                <w:rFonts w:cstheme="minorHAnsi"/>
                <w:szCs w:val="20"/>
              </w:rPr>
            </w:pPr>
            <w:r>
              <w:rPr>
                <w:rFonts w:cstheme="minorHAnsi"/>
                <w:szCs w:val="20"/>
              </w:rPr>
              <w:t>115 op</w:t>
            </w:r>
          </w:p>
        </w:tc>
        <w:tc>
          <w:tcPr>
            <w:tcW w:w="6551" w:type="dxa"/>
          </w:tcPr>
          <w:p w:rsidR="00F222AA" w:rsidRPr="00B31AC6" w:rsidRDefault="00F222AA" w:rsidP="00740DB9">
            <w:pPr>
              <w:spacing w:before="240"/>
              <w:rPr>
                <w:rFonts w:cstheme="minorHAnsi"/>
                <w:szCs w:val="20"/>
              </w:rPr>
            </w:pPr>
            <w:r>
              <w:rPr>
                <w:rFonts w:cstheme="minorHAnsi"/>
                <w:szCs w:val="20"/>
              </w:rPr>
              <w:t>Ammattiopinnot yhdessä perusopintojen kanssa muodostavat laajan asiantuntijuuden kehittymistä tukevan kokonaisuuden. Opiskelija voi valita pakollisten ammattiopintojen lisäksi suuntautumisen joko yrittäjän tai asiantuntijan ja kehittäjän polulle. Lisäksi on mahdollista valita painotus hevostalouteen.</w:t>
            </w:r>
          </w:p>
        </w:tc>
      </w:tr>
      <w:tr w:rsidR="00F222AA" w:rsidRPr="00C223AC" w:rsidTr="00740DB9">
        <w:tc>
          <w:tcPr>
            <w:tcW w:w="2093" w:type="dxa"/>
          </w:tcPr>
          <w:p w:rsidR="00F222AA" w:rsidRPr="00B31AC6" w:rsidRDefault="00F222AA" w:rsidP="00740DB9">
            <w:pPr>
              <w:spacing w:before="240"/>
              <w:rPr>
                <w:rFonts w:cstheme="minorHAnsi"/>
                <w:b/>
                <w:szCs w:val="20"/>
              </w:rPr>
            </w:pPr>
            <w:r w:rsidRPr="00B31AC6">
              <w:rPr>
                <w:rFonts w:cstheme="minorHAnsi"/>
                <w:b/>
                <w:szCs w:val="20"/>
              </w:rPr>
              <w:t>Harjoittelu</w:t>
            </w:r>
          </w:p>
        </w:tc>
        <w:tc>
          <w:tcPr>
            <w:tcW w:w="1134" w:type="dxa"/>
          </w:tcPr>
          <w:p w:rsidR="00F222AA" w:rsidRPr="00B31AC6" w:rsidRDefault="00F222AA" w:rsidP="00740DB9">
            <w:pPr>
              <w:spacing w:before="240"/>
              <w:rPr>
                <w:rFonts w:cstheme="minorHAnsi"/>
                <w:szCs w:val="20"/>
              </w:rPr>
            </w:pPr>
            <w:r>
              <w:rPr>
                <w:rFonts w:cstheme="minorHAnsi"/>
                <w:szCs w:val="20"/>
              </w:rPr>
              <w:t>50 op</w:t>
            </w:r>
          </w:p>
        </w:tc>
        <w:tc>
          <w:tcPr>
            <w:tcW w:w="6551" w:type="dxa"/>
          </w:tcPr>
          <w:p w:rsidR="00F222AA" w:rsidRPr="00523DF2" w:rsidRDefault="00F222AA" w:rsidP="00740DB9">
            <w:pPr>
              <w:autoSpaceDE w:val="0"/>
              <w:autoSpaceDN w:val="0"/>
              <w:spacing w:before="240"/>
              <w:rPr>
                <w:rFonts w:cstheme="minorHAnsi"/>
                <w:iCs/>
                <w:szCs w:val="20"/>
              </w:rPr>
            </w:pPr>
            <w:r w:rsidRPr="00523DF2">
              <w:rPr>
                <w:rFonts w:cstheme="minorHAnsi"/>
                <w:iCs/>
                <w:szCs w:val="20"/>
              </w:rPr>
              <w:t>Harjoittelussa opiskelija perehtyy käytännön työtoimintaan ja hankkii valmiuksia erilaisten toimintatapojen ja työmenetelmien valintaan, käyttöön ja soveltamiseen.  Harjoittelussa opitaan myös kehittämään asiakas- ja työelämälähtöisesti uusia ratkaisuja ja toiminnan laatua.  Harjoittelu valmentaa työelämän vaatimuksiin ammatillista osaamista syventämällä sekä auttaa työllistymään koulutusalaa ja suuntautumista vastaaviin tehtäviin. Harjoittelussa opiskelija vastaa</w:t>
            </w:r>
          </w:p>
          <w:p w:rsidR="00F222AA" w:rsidRPr="00523DF2" w:rsidRDefault="00F222AA" w:rsidP="00BE7D58">
            <w:pPr>
              <w:pStyle w:val="Luettelokappale"/>
              <w:numPr>
                <w:ilvl w:val="0"/>
                <w:numId w:val="1"/>
              </w:numPr>
              <w:autoSpaceDE w:val="0"/>
              <w:autoSpaceDN w:val="0"/>
              <w:spacing w:before="240" w:after="0" w:line="240" w:lineRule="auto"/>
              <w:ind w:left="485" w:hanging="340"/>
              <w:contextualSpacing w:val="0"/>
              <w:rPr>
                <w:rFonts w:cstheme="minorHAnsi"/>
                <w:iCs/>
                <w:szCs w:val="20"/>
              </w:rPr>
            </w:pPr>
            <w:r w:rsidRPr="00523DF2">
              <w:rPr>
                <w:rFonts w:cstheme="minorHAnsi"/>
                <w:iCs/>
                <w:szCs w:val="20"/>
              </w:rPr>
              <w:t>harjoittelupaikan hakemisesta ja harjoittelun tavoitteiden laatimisesta</w:t>
            </w:r>
          </w:p>
          <w:p w:rsidR="00F222AA" w:rsidRPr="00523DF2" w:rsidRDefault="00F222AA" w:rsidP="00BE7D58">
            <w:pPr>
              <w:pStyle w:val="Luettelokappale"/>
              <w:numPr>
                <w:ilvl w:val="0"/>
                <w:numId w:val="1"/>
              </w:numPr>
              <w:autoSpaceDE w:val="0"/>
              <w:autoSpaceDN w:val="0"/>
              <w:spacing w:after="0" w:line="240" w:lineRule="auto"/>
              <w:ind w:left="485" w:hanging="338"/>
              <w:contextualSpacing w:val="0"/>
              <w:rPr>
                <w:rFonts w:cstheme="minorHAnsi"/>
                <w:iCs/>
                <w:szCs w:val="20"/>
              </w:rPr>
            </w:pPr>
            <w:r w:rsidRPr="00523DF2">
              <w:rPr>
                <w:rFonts w:cstheme="minorHAnsi"/>
                <w:iCs/>
                <w:szCs w:val="20"/>
              </w:rPr>
              <w:t>harjoittelusta harjoittelusuunnitelman mukaisesti</w:t>
            </w:r>
          </w:p>
          <w:p w:rsidR="00F222AA" w:rsidRPr="00BE7D58" w:rsidRDefault="00F222AA" w:rsidP="00BE7D58">
            <w:pPr>
              <w:pStyle w:val="Luettelokappale"/>
              <w:numPr>
                <w:ilvl w:val="0"/>
                <w:numId w:val="1"/>
              </w:numPr>
              <w:autoSpaceDE w:val="0"/>
              <w:autoSpaceDN w:val="0"/>
              <w:spacing w:after="0" w:line="240" w:lineRule="auto"/>
              <w:ind w:left="485" w:hanging="338"/>
              <w:contextualSpacing w:val="0"/>
              <w:rPr>
                <w:rFonts w:cstheme="minorHAnsi"/>
                <w:iCs/>
                <w:szCs w:val="20"/>
              </w:rPr>
            </w:pPr>
            <w:r w:rsidRPr="00523DF2">
              <w:rPr>
                <w:rFonts w:cstheme="minorHAnsi"/>
                <w:iCs/>
                <w:szCs w:val="20"/>
              </w:rPr>
              <w:t>harjoittelun raportoinnista.</w:t>
            </w:r>
          </w:p>
          <w:p w:rsidR="00F222AA" w:rsidRDefault="00F222AA" w:rsidP="00740DB9">
            <w:pPr>
              <w:autoSpaceDE w:val="0"/>
              <w:autoSpaceDN w:val="0"/>
              <w:spacing w:after="0" w:line="240" w:lineRule="auto"/>
              <w:ind w:left="1080"/>
              <w:rPr>
                <w:rFonts w:cstheme="minorHAnsi"/>
                <w:iCs/>
                <w:color w:val="4472C4" w:themeColor="accent5"/>
              </w:rPr>
            </w:pPr>
          </w:p>
          <w:p w:rsidR="00F222AA" w:rsidRDefault="00F222AA" w:rsidP="00740DB9">
            <w:pPr>
              <w:autoSpaceDE w:val="0"/>
              <w:autoSpaceDN w:val="0"/>
              <w:spacing w:after="0" w:line="240" w:lineRule="auto"/>
              <w:rPr>
                <w:rFonts w:cstheme="minorHAnsi"/>
                <w:iCs/>
                <w:szCs w:val="20"/>
              </w:rPr>
            </w:pPr>
            <w:r w:rsidRPr="00523DF2">
              <w:rPr>
                <w:rFonts w:cstheme="minorHAnsi"/>
                <w:iCs/>
                <w:szCs w:val="20"/>
              </w:rPr>
              <w:t>Maatalousharjoittelu</w:t>
            </w:r>
            <w:r>
              <w:rPr>
                <w:rFonts w:cstheme="minorHAnsi"/>
                <w:iCs/>
                <w:szCs w:val="20"/>
              </w:rPr>
              <w:t xml:space="preserve"> (30 op)</w:t>
            </w:r>
            <w:r w:rsidRPr="00523DF2">
              <w:rPr>
                <w:rFonts w:cstheme="minorHAnsi"/>
                <w:iCs/>
                <w:szCs w:val="20"/>
              </w:rPr>
              <w:t xml:space="preserve"> tapahtuu oppilaitoksen kanssa sopimuksen tehneillä maatiloilla ja/tai hevostalousyrityksissä. Työelämäharjoittelun</w:t>
            </w:r>
            <w:r>
              <w:rPr>
                <w:rFonts w:cstheme="minorHAnsi"/>
                <w:iCs/>
                <w:szCs w:val="20"/>
              </w:rPr>
              <w:t xml:space="preserve"> (20 op)</w:t>
            </w:r>
            <w:r w:rsidRPr="00523DF2">
              <w:rPr>
                <w:rFonts w:cstheme="minorHAnsi"/>
                <w:iCs/>
                <w:szCs w:val="20"/>
              </w:rPr>
              <w:t xml:space="preserve"> aikana työskennellään asiantuntijuutta edellyttävissä alan työpaikoissa, mm. maaseutuhallinnossa, neuvonnassa, tutkimuslaitoksissa, yrityksissä tai muissa alan organisaatioissa.</w:t>
            </w:r>
          </w:p>
          <w:p w:rsidR="00BE7D58" w:rsidRPr="00523DF2" w:rsidRDefault="00BE7D58" w:rsidP="00740DB9">
            <w:pPr>
              <w:autoSpaceDE w:val="0"/>
              <w:autoSpaceDN w:val="0"/>
              <w:spacing w:after="0" w:line="240" w:lineRule="auto"/>
              <w:rPr>
                <w:rFonts w:cstheme="minorHAnsi"/>
                <w:iCs/>
                <w:color w:val="4472C4" w:themeColor="accent5"/>
              </w:rPr>
            </w:pPr>
          </w:p>
        </w:tc>
      </w:tr>
      <w:tr w:rsidR="00F222AA" w:rsidRPr="00C223AC" w:rsidTr="00740DB9">
        <w:tc>
          <w:tcPr>
            <w:tcW w:w="2093" w:type="dxa"/>
          </w:tcPr>
          <w:p w:rsidR="00F222AA" w:rsidRPr="00B31AC6" w:rsidRDefault="00F222AA" w:rsidP="00740DB9">
            <w:pPr>
              <w:spacing w:before="240"/>
              <w:rPr>
                <w:rFonts w:cstheme="minorHAnsi"/>
                <w:b/>
                <w:szCs w:val="20"/>
              </w:rPr>
            </w:pPr>
            <w:r w:rsidRPr="00B31AC6">
              <w:rPr>
                <w:rFonts w:cstheme="minorHAnsi"/>
                <w:b/>
                <w:szCs w:val="20"/>
              </w:rPr>
              <w:t>Opinnäytetyö</w:t>
            </w:r>
          </w:p>
          <w:p w:rsidR="00F222AA" w:rsidRPr="00B31AC6" w:rsidRDefault="00F222AA" w:rsidP="00740DB9">
            <w:pPr>
              <w:spacing w:before="240"/>
              <w:rPr>
                <w:rFonts w:cstheme="minorHAnsi"/>
                <w:szCs w:val="20"/>
              </w:rPr>
            </w:pPr>
          </w:p>
        </w:tc>
        <w:tc>
          <w:tcPr>
            <w:tcW w:w="1134" w:type="dxa"/>
          </w:tcPr>
          <w:p w:rsidR="00F222AA" w:rsidRPr="00B31AC6" w:rsidRDefault="00F222AA" w:rsidP="00740DB9">
            <w:pPr>
              <w:spacing w:before="240"/>
              <w:rPr>
                <w:rFonts w:cstheme="minorHAnsi"/>
                <w:szCs w:val="20"/>
              </w:rPr>
            </w:pPr>
            <w:r w:rsidRPr="00B31AC6">
              <w:rPr>
                <w:rFonts w:cstheme="minorHAnsi"/>
                <w:szCs w:val="20"/>
              </w:rPr>
              <w:t>15 op</w:t>
            </w:r>
          </w:p>
        </w:tc>
        <w:tc>
          <w:tcPr>
            <w:tcW w:w="6551" w:type="dxa"/>
          </w:tcPr>
          <w:p w:rsidR="00BE7D58" w:rsidRPr="00BE7D58" w:rsidRDefault="00BE7D58" w:rsidP="00BE7D58">
            <w:pPr>
              <w:spacing w:before="240"/>
              <w:rPr>
                <w:rFonts w:cstheme="minorHAnsi"/>
              </w:rPr>
            </w:pPr>
            <w:r w:rsidRPr="00BE7D58">
              <w:rPr>
                <w:rFonts w:cstheme="minorHAnsi"/>
              </w:rPr>
              <w:t>Opinnäytetyö on opiskelijan työelämäläh</w:t>
            </w:r>
            <w:r>
              <w:rPr>
                <w:rFonts w:cstheme="minorHAnsi"/>
              </w:rPr>
              <w:t>einen oppimisprosessi, jota asi</w:t>
            </w:r>
            <w:r w:rsidRPr="00BE7D58">
              <w:rPr>
                <w:rFonts w:cstheme="minorHAnsi"/>
              </w:rPr>
              <w:t>antuntijat tukevat, ohjaavat ja arvioivat. Tavoitteena on, että opiskelija kehittää työelämää opinnäytetyöllään samalla kun prosessi syventää hänen asiantuntijuuttaan valitussa aiheessa. Opinnäytetyöt voivat olla tutkimuksellisia, toiminnallisia tai subjektiivista luovaa ilmaisua. Opinnäytetyön tekemisessä opiskelija vastaa</w:t>
            </w:r>
          </w:p>
          <w:p w:rsidR="00BE7D58" w:rsidRPr="00BE7D58" w:rsidRDefault="00BE7D58" w:rsidP="00BE7D58">
            <w:pPr>
              <w:pStyle w:val="Luettelokappale"/>
              <w:numPr>
                <w:ilvl w:val="0"/>
                <w:numId w:val="2"/>
              </w:numPr>
              <w:spacing w:before="240"/>
              <w:ind w:left="487" w:hanging="340"/>
              <w:rPr>
                <w:rFonts w:cstheme="minorHAnsi"/>
              </w:rPr>
            </w:pPr>
            <w:r w:rsidRPr="00BE7D58">
              <w:rPr>
                <w:rFonts w:cstheme="minorHAnsi"/>
              </w:rPr>
              <w:t xml:space="preserve">opinnäytetyöidean ja työelämäyhteyden hakemisesta </w:t>
            </w:r>
          </w:p>
          <w:p w:rsidR="00BE7D58" w:rsidRPr="00BE7D58" w:rsidRDefault="00BE7D58" w:rsidP="00BE7D58">
            <w:pPr>
              <w:pStyle w:val="Luettelokappale"/>
              <w:numPr>
                <w:ilvl w:val="0"/>
                <w:numId w:val="2"/>
              </w:numPr>
              <w:spacing w:before="240"/>
              <w:ind w:left="487" w:hanging="340"/>
              <w:rPr>
                <w:rFonts w:cstheme="minorHAnsi"/>
              </w:rPr>
            </w:pPr>
            <w:r w:rsidRPr="00BE7D58">
              <w:rPr>
                <w:rFonts w:cstheme="minorHAnsi"/>
              </w:rPr>
              <w:t xml:space="preserve">opinnäytetyön tehtäväalueeseen perehtymisestä ja tehtävän asettamisesta </w:t>
            </w:r>
          </w:p>
          <w:p w:rsidR="00BE7D58" w:rsidRPr="00BE7D58" w:rsidRDefault="00BE7D58" w:rsidP="00BE7D58">
            <w:pPr>
              <w:pStyle w:val="Luettelokappale"/>
              <w:numPr>
                <w:ilvl w:val="0"/>
                <w:numId w:val="2"/>
              </w:numPr>
              <w:spacing w:before="240"/>
              <w:ind w:left="487" w:hanging="340"/>
              <w:rPr>
                <w:rFonts w:cstheme="minorHAnsi"/>
              </w:rPr>
            </w:pPr>
            <w:r w:rsidRPr="00BE7D58">
              <w:rPr>
                <w:rFonts w:cstheme="minorHAnsi"/>
              </w:rPr>
              <w:lastRenderedPageBreak/>
              <w:t xml:space="preserve">asetetun tehtävän suorittamisesta ja raportoinnista </w:t>
            </w:r>
          </w:p>
          <w:p w:rsidR="00BE7D58" w:rsidRPr="00BE7D58" w:rsidRDefault="00BE7D58" w:rsidP="00BE7D58">
            <w:pPr>
              <w:pStyle w:val="Luettelokappale"/>
              <w:numPr>
                <w:ilvl w:val="0"/>
                <w:numId w:val="2"/>
              </w:numPr>
              <w:spacing w:before="240"/>
              <w:ind w:left="487" w:hanging="340"/>
              <w:rPr>
                <w:rFonts w:cstheme="minorHAnsi"/>
              </w:rPr>
            </w:pPr>
            <w:r w:rsidRPr="00BE7D58">
              <w:rPr>
                <w:rFonts w:cstheme="minorHAnsi"/>
              </w:rPr>
              <w:t xml:space="preserve">opinnäytetyön viimeistelystä ja tiedotusmateriaalin laatimisesta. </w:t>
            </w:r>
          </w:p>
          <w:p w:rsidR="00F222AA" w:rsidRPr="00BE7D58" w:rsidRDefault="00BE7D58" w:rsidP="00BE7D58">
            <w:pPr>
              <w:spacing w:before="240"/>
              <w:rPr>
                <w:rFonts w:cstheme="minorHAnsi"/>
              </w:rPr>
            </w:pPr>
            <w:r w:rsidRPr="00BE7D58">
              <w:rPr>
                <w:rFonts w:cstheme="minorHAnsi"/>
              </w:rPr>
              <w:t>Opinnäytetyö tarjoaa joustavan portin siirtyä työelämään ja hyvän mahdollisuuden verkottua omalla alalla.</w:t>
            </w:r>
          </w:p>
        </w:tc>
      </w:tr>
      <w:tr w:rsidR="00F222AA" w:rsidRPr="00C223AC" w:rsidTr="00740DB9">
        <w:tc>
          <w:tcPr>
            <w:tcW w:w="2093" w:type="dxa"/>
          </w:tcPr>
          <w:p w:rsidR="00F222AA" w:rsidRPr="00523DF2" w:rsidRDefault="00F222AA" w:rsidP="00740DB9">
            <w:pPr>
              <w:spacing w:before="240"/>
              <w:rPr>
                <w:rFonts w:cstheme="minorHAnsi"/>
                <w:b/>
                <w:szCs w:val="20"/>
              </w:rPr>
            </w:pPr>
            <w:r w:rsidRPr="00523DF2">
              <w:rPr>
                <w:rFonts w:cstheme="minorHAnsi"/>
                <w:b/>
                <w:szCs w:val="20"/>
              </w:rPr>
              <w:lastRenderedPageBreak/>
              <w:t>Valinnaiset opinnot</w:t>
            </w:r>
          </w:p>
          <w:p w:rsidR="00F222AA" w:rsidRPr="00B31AC6" w:rsidRDefault="00F222AA" w:rsidP="00740DB9">
            <w:pPr>
              <w:spacing w:before="240"/>
              <w:rPr>
                <w:rFonts w:cstheme="minorHAnsi"/>
                <w:szCs w:val="20"/>
              </w:rPr>
            </w:pPr>
          </w:p>
        </w:tc>
        <w:tc>
          <w:tcPr>
            <w:tcW w:w="1134" w:type="dxa"/>
          </w:tcPr>
          <w:p w:rsidR="00F222AA" w:rsidRPr="00B31AC6" w:rsidRDefault="00F222AA" w:rsidP="00740DB9">
            <w:pPr>
              <w:spacing w:before="240"/>
              <w:rPr>
                <w:rFonts w:cstheme="minorHAnsi"/>
                <w:szCs w:val="20"/>
              </w:rPr>
            </w:pPr>
            <w:r w:rsidRPr="00B31AC6">
              <w:rPr>
                <w:rFonts w:cstheme="minorHAnsi"/>
                <w:szCs w:val="20"/>
              </w:rPr>
              <w:t>15 op</w:t>
            </w:r>
          </w:p>
        </w:tc>
        <w:tc>
          <w:tcPr>
            <w:tcW w:w="6551" w:type="dxa"/>
          </w:tcPr>
          <w:p w:rsidR="00F222AA" w:rsidRPr="003F1F0A" w:rsidRDefault="00BE7D58" w:rsidP="00740DB9">
            <w:pPr>
              <w:spacing w:before="240"/>
              <w:rPr>
                <w:rFonts w:cstheme="minorHAnsi"/>
                <w:color w:val="4472C4" w:themeColor="accent5"/>
                <w:szCs w:val="20"/>
              </w:rPr>
            </w:pPr>
            <w:r w:rsidRPr="00BE7D58">
              <w:rPr>
                <w:rFonts w:cstheme="minorHAnsi"/>
                <w:szCs w:val="20"/>
              </w:rPr>
              <w:t>Valinnaiset opinnot suuntaavat ja tukevat asiantuntijuuden kehittymistä opiskelijan kiinnostuksen mukaan. Opiskelija voi valita opintoja myös Savonian yhteisistä opintokokonaisuuksista ja muista tutkinto-ohjelmista tai sisällyttää tutkintoonsa muualla suoritettuja saman</w:t>
            </w:r>
            <w:r>
              <w:rPr>
                <w:rFonts w:cstheme="minorHAnsi"/>
                <w:szCs w:val="20"/>
              </w:rPr>
              <w:t xml:space="preserve"> </w:t>
            </w:r>
            <w:r w:rsidRPr="00BE7D58">
              <w:rPr>
                <w:rFonts w:cstheme="minorHAnsi"/>
                <w:szCs w:val="20"/>
              </w:rPr>
              <w:t>tasoisia opintoja.</w:t>
            </w:r>
          </w:p>
        </w:tc>
      </w:tr>
      <w:tr w:rsidR="00F222AA" w:rsidRPr="00C223AC" w:rsidTr="00740DB9">
        <w:tc>
          <w:tcPr>
            <w:tcW w:w="2093" w:type="dxa"/>
          </w:tcPr>
          <w:p w:rsidR="00F222AA" w:rsidRPr="00B31AC6" w:rsidRDefault="00F222AA" w:rsidP="00740DB9">
            <w:pPr>
              <w:spacing w:before="240"/>
              <w:rPr>
                <w:rFonts w:cstheme="minorHAnsi"/>
                <w:b/>
                <w:szCs w:val="20"/>
              </w:rPr>
            </w:pPr>
            <w:r w:rsidRPr="00B31AC6">
              <w:rPr>
                <w:rFonts w:cstheme="minorHAnsi"/>
                <w:b/>
                <w:szCs w:val="20"/>
              </w:rPr>
              <w:t>Yhteensä</w:t>
            </w:r>
          </w:p>
        </w:tc>
        <w:tc>
          <w:tcPr>
            <w:tcW w:w="1134" w:type="dxa"/>
          </w:tcPr>
          <w:p w:rsidR="00F222AA" w:rsidRPr="00B31AC6" w:rsidRDefault="00F222AA" w:rsidP="00740DB9">
            <w:pPr>
              <w:spacing w:before="240"/>
              <w:rPr>
                <w:rFonts w:cstheme="minorHAnsi"/>
                <w:szCs w:val="20"/>
              </w:rPr>
            </w:pPr>
            <w:r>
              <w:rPr>
                <w:rFonts w:cstheme="minorHAnsi"/>
                <w:szCs w:val="20"/>
              </w:rPr>
              <w:t>24</w:t>
            </w:r>
            <w:r w:rsidRPr="00B31AC6">
              <w:rPr>
                <w:rFonts w:cstheme="minorHAnsi"/>
                <w:szCs w:val="20"/>
              </w:rPr>
              <w:t>0 op</w:t>
            </w:r>
          </w:p>
        </w:tc>
        <w:tc>
          <w:tcPr>
            <w:tcW w:w="6551" w:type="dxa"/>
          </w:tcPr>
          <w:p w:rsidR="00F222AA" w:rsidRPr="00B31AC6" w:rsidRDefault="00F222AA" w:rsidP="00740DB9">
            <w:pPr>
              <w:spacing w:before="240"/>
              <w:rPr>
                <w:rFonts w:cstheme="minorHAnsi"/>
                <w:szCs w:val="20"/>
              </w:rPr>
            </w:pPr>
          </w:p>
        </w:tc>
      </w:tr>
    </w:tbl>
    <w:p w:rsidR="001202D0" w:rsidRDefault="001202D0"/>
    <w:sectPr w:rsidR="001202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695914"/>
    <w:multiLevelType w:val="hybridMultilevel"/>
    <w:tmpl w:val="BB72B660"/>
    <w:lvl w:ilvl="0" w:tplc="F752B672">
      <w:start w:val="1"/>
      <w:numFmt w:val="bullet"/>
      <w:lvlText w:val=""/>
      <w:lvlJc w:val="left"/>
      <w:pPr>
        <w:ind w:left="1080" w:hanging="360"/>
      </w:pPr>
      <w:rPr>
        <w:rFonts w:ascii="Symbol" w:hAnsi="Symbol" w:hint="default"/>
        <w:color w:val="auto"/>
      </w:rPr>
    </w:lvl>
    <w:lvl w:ilvl="1" w:tplc="040B0003">
      <w:start w:val="1"/>
      <w:numFmt w:val="decimal"/>
      <w:lvlText w:val="%2."/>
      <w:lvlJc w:val="left"/>
      <w:pPr>
        <w:tabs>
          <w:tab w:val="num" w:pos="1440"/>
        </w:tabs>
        <w:ind w:left="1440" w:hanging="360"/>
      </w:pPr>
    </w:lvl>
    <w:lvl w:ilvl="2" w:tplc="040B0005">
      <w:start w:val="1"/>
      <w:numFmt w:val="decimal"/>
      <w:lvlText w:val="%3."/>
      <w:lvlJc w:val="left"/>
      <w:pPr>
        <w:tabs>
          <w:tab w:val="num" w:pos="2160"/>
        </w:tabs>
        <w:ind w:left="2160" w:hanging="360"/>
      </w:pPr>
    </w:lvl>
    <w:lvl w:ilvl="3" w:tplc="040B0001">
      <w:start w:val="1"/>
      <w:numFmt w:val="decimal"/>
      <w:lvlText w:val="%4."/>
      <w:lvlJc w:val="left"/>
      <w:pPr>
        <w:tabs>
          <w:tab w:val="num" w:pos="2880"/>
        </w:tabs>
        <w:ind w:left="2880" w:hanging="360"/>
      </w:pPr>
    </w:lvl>
    <w:lvl w:ilvl="4" w:tplc="040B0003">
      <w:start w:val="1"/>
      <w:numFmt w:val="decimal"/>
      <w:lvlText w:val="%5."/>
      <w:lvlJc w:val="left"/>
      <w:pPr>
        <w:tabs>
          <w:tab w:val="num" w:pos="3600"/>
        </w:tabs>
        <w:ind w:left="3600" w:hanging="360"/>
      </w:pPr>
    </w:lvl>
    <w:lvl w:ilvl="5" w:tplc="040B0005">
      <w:start w:val="1"/>
      <w:numFmt w:val="decimal"/>
      <w:lvlText w:val="%6."/>
      <w:lvlJc w:val="left"/>
      <w:pPr>
        <w:tabs>
          <w:tab w:val="num" w:pos="4320"/>
        </w:tabs>
        <w:ind w:left="4320" w:hanging="360"/>
      </w:pPr>
    </w:lvl>
    <w:lvl w:ilvl="6" w:tplc="040B0001">
      <w:start w:val="1"/>
      <w:numFmt w:val="decimal"/>
      <w:lvlText w:val="%7."/>
      <w:lvlJc w:val="left"/>
      <w:pPr>
        <w:tabs>
          <w:tab w:val="num" w:pos="5040"/>
        </w:tabs>
        <w:ind w:left="5040" w:hanging="360"/>
      </w:pPr>
    </w:lvl>
    <w:lvl w:ilvl="7" w:tplc="040B0003">
      <w:start w:val="1"/>
      <w:numFmt w:val="decimal"/>
      <w:lvlText w:val="%8."/>
      <w:lvlJc w:val="left"/>
      <w:pPr>
        <w:tabs>
          <w:tab w:val="num" w:pos="5760"/>
        </w:tabs>
        <w:ind w:left="5760" w:hanging="360"/>
      </w:pPr>
    </w:lvl>
    <w:lvl w:ilvl="8" w:tplc="040B0005">
      <w:start w:val="1"/>
      <w:numFmt w:val="decimal"/>
      <w:lvlText w:val="%9."/>
      <w:lvlJc w:val="left"/>
      <w:pPr>
        <w:tabs>
          <w:tab w:val="num" w:pos="6480"/>
        </w:tabs>
        <w:ind w:left="6480" w:hanging="360"/>
      </w:pPr>
    </w:lvl>
  </w:abstractNum>
  <w:abstractNum w:abstractNumId="1" w15:restartNumberingAfterBreak="0">
    <w:nsid w:val="662D0D5A"/>
    <w:multiLevelType w:val="hybridMultilevel"/>
    <w:tmpl w:val="B132605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2AA"/>
    <w:rsid w:val="001202D0"/>
    <w:rsid w:val="00467359"/>
    <w:rsid w:val="00487186"/>
    <w:rsid w:val="00BE7D58"/>
    <w:rsid w:val="00F222A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B30A8A-8F9D-46CC-889B-245C6D397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F222AA"/>
    <w:pPr>
      <w:spacing w:after="200" w:line="276" w:lineRule="auto"/>
    </w:pPr>
    <w:rPr>
      <w:rFonts w:eastAsiaTheme="minorEastAsia"/>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F222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295</Words>
  <Characters>2396</Characters>
  <Application>Microsoft Office Word</Application>
  <DocSecurity>0</DocSecurity>
  <Lines>19</Lines>
  <Paragraphs>5</Paragraphs>
  <ScaleCrop>false</ScaleCrop>
  <HeadingPairs>
    <vt:vector size="2" baseType="variant">
      <vt:variant>
        <vt:lpstr>Otsikko</vt:lpstr>
      </vt:variant>
      <vt:variant>
        <vt:i4>1</vt:i4>
      </vt:variant>
    </vt:vector>
  </HeadingPairs>
  <TitlesOfParts>
    <vt:vector size="1" baseType="lpstr">
      <vt:lpstr/>
    </vt:vector>
  </TitlesOfParts>
  <Company>SAVONIA-AMK OY</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Petri Kainulainen</dc:creator>
  <cp:keywords/>
  <dc:description/>
  <cp:lastModifiedBy>Marja Kopeli</cp:lastModifiedBy>
  <cp:revision>3</cp:revision>
  <dcterms:created xsi:type="dcterms:W3CDTF">2017-11-30T12:48:00Z</dcterms:created>
  <dcterms:modified xsi:type="dcterms:W3CDTF">2017-11-30T12:49:00Z</dcterms:modified>
</cp:coreProperties>
</file>