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B0F" w:rsidRDefault="00045F1E" w:rsidP="00FC3B0F">
      <w:pPr>
        <w:pStyle w:val="NormaaliWWW"/>
        <w:spacing w:after="0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TYH</w:t>
      </w:r>
      <w:r w:rsidR="00F84B01">
        <w:rPr>
          <w:rFonts w:asciiTheme="majorHAnsi" w:hAnsiTheme="majorHAnsi" w:cs="Tahoma"/>
        </w:rPr>
        <w:t>18KY</w:t>
      </w:r>
      <w:r w:rsidR="004F77F2">
        <w:rPr>
          <w:rFonts w:asciiTheme="majorHAnsi" w:hAnsiTheme="majorHAnsi" w:cs="Tahoma"/>
        </w:rPr>
        <w:t>_1</w:t>
      </w:r>
    </w:p>
    <w:p w:rsidR="00203261" w:rsidRPr="00F37842" w:rsidRDefault="00203261" w:rsidP="00FC3B0F">
      <w:pPr>
        <w:pStyle w:val="NormaaliWWW"/>
        <w:spacing w:after="0"/>
        <w:rPr>
          <w:rFonts w:asciiTheme="majorHAnsi" w:hAnsiTheme="majorHAnsi" w:cs="Tahoma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C3B0F" w:rsidRPr="000F7DD8" w:rsidTr="004F77F2">
        <w:tc>
          <w:tcPr>
            <w:tcW w:w="2689" w:type="dxa"/>
            <w:shd w:val="clear" w:color="auto" w:fill="31A3B5"/>
          </w:tcPr>
          <w:p w:rsidR="00FC3B0F" w:rsidRPr="00EC668C" w:rsidRDefault="00FC3B0F" w:rsidP="00541F7D">
            <w:pPr>
              <w:pStyle w:val="NormaaliWWW"/>
              <w:spacing w:before="120" w:after="120" w:line="276" w:lineRule="auto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 w:rsidRPr="00EC668C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Osaamisen osa-alue</w:t>
            </w:r>
          </w:p>
        </w:tc>
        <w:tc>
          <w:tcPr>
            <w:tcW w:w="6939" w:type="dxa"/>
            <w:shd w:val="clear" w:color="auto" w:fill="31A3B5"/>
          </w:tcPr>
          <w:p w:rsidR="00FC3B0F" w:rsidRPr="00EC668C" w:rsidRDefault="00FC3B0F" w:rsidP="00541F7D">
            <w:pPr>
              <w:pStyle w:val="NormaaliWWW"/>
              <w:spacing w:before="120" w:after="120" w:line="276" w:lineRule="auto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 w:rsidRPr="00EC668C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Osaaminen tasolla 7</w:t>
            </w:r>
          </w:p>
        </w:tc>
      </w:tr>
      <w:tr w:rsidR="00FC3B0F" w:rsidRPr="000F7DD8" w:rsidTr="004F77F2">
        <w:trPr>
          <w:trHeight w:val="907"/>
        </w:trPr>
        <w:tc>
          <w:tcPr>
            <w:tcW w:w="2689" w:type="dxa"/>
          </w:tcPr>
          <w:p w:rsidR="00FC3B0F" w:rsidRPr="00EC668C" w:rsidRDefault="00FC3B0F" w:rsidP="00D1620E">
            <w:pPr>
              <w:pStyle w:val="NormaaliWWW"/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EC668C">
              <w:rPr>
                <w:rFonts w:ascii="Tahoma" w:hAnsi="Tahoma" w:cs="Tahoma"/>
                <w:b/>
                <w:sz w:val="22"/>
                <w:szCs w:val="22"/>
              </w:rPr>
              <w:t>Tieto</w:t>
            </w:r>
          </w:p>
        </w:tc>
        <w:tc>
          <w:tcPr>
            <w:tcW w:w="6939" w:type="dxa"/>
          </w:tcPr>
          <w:p w:rsidR="00FC3B0F" w:rsidRPr="00EC668C" w:rsidRDefault="00045F1E" w:rsidP="00D370E4">
            <w:pPr>
              <w:pStyle w:val="NormaaliWWW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Hoitotyön kliininen asiantuntija o</w:t>
            </w:r>
            <w:r w:rsidR="00FC3B0F" w:rsidRPr="00EC668C">
              <w:rPr>
                <w:rFonts w:ascii="Tahoma" w:hAnsi="Tahoma" w:cs="Tahoma"/>
                <w:sz w:val="22"/>
                <w:szCs w:val="22"/>
              </w:rPr>
              <w:t xml:space="preserve">maa laaja-alaiset ja pitkälle erikoistuneet </w:t>
            </w:r>
            <w:r w:rsidR="00D370E4">
              <w:rPr>
                <w:rFonts w:ascii="Tahoma" w:hAnsi="Tahoma" w:cs="Tahoma"/>
                <w:sz w:val="22"/>
                <w:szCs w:val="22"/>
              </w:rPr>
              <w:t>sosiaali- ja terveysalan</w:t>
            </w:r>
            <w:r w:rsidR="00FC3B0F" w:rsidRPr="00EC668C">
              <w:rPr>
                <w:rFonts w:ascii="Tahoma" w:hAnsi="Tahoma" w:cs="Tahoma"/>
                <w:sz w:val="22"/>
                <w:szCs w:val="22"/>
              </w:rPr>
              <w:t xml:space="preserve"> erityisosaamista vastaavat käsitteet, menetelmät ja tiedot, joita käytetään itsenäisen ajattelun</w:t>
            </w:r>
            <w:r>
              <w:rPr>
                <w:rFonts w:ascii="Tahoma" w:hAnsi="Tahoma" w:cs="Tahoma"/>
                <w:sz w:val="22"/>
                <w:szCs w:val="22"/>
              </w:rPr>
              <w:t xml:space="preserve"> ja tutkimuksen perustana. Hän o</w:t>
            </w:r>
            <w:r w:rsidR="00FC3B0F" w:rsidRPr="00EC668C">
              <w:rPr>
                <w:rFonts w:ascii="Tahoma" w:hAnsi="Tahoma" w:cs="Tahoma"/>
                <w:sz w:val="22"/>
                <w:szCs w:val="22"/>
              </w:rPr>
              <w:t>soittaa alan ja eri alojen rajapintojen tietoihin liittyviä kysymyksiä ja tarkastelee niitä ja uutta tietoa kriittisesti.</w:t>
            </w:r>
          </w:p>
        </w:tc>
      </w:tr>
      <w:tr w:rsidR="00FC3B0F" w:rsidRPr="000F7DD8" w:rsidTr="004F77F2">
        <w:trPr>
          <w:trHeight w:val="740"/>
        </w:trPr>
        <w:tc>
          <w:tcPr>
            <w:tcW w:w="2689" w:type="dxa"/>
          </w:tcPr>
          <w:p w:rsidR="00FC3B0F" w:rsidRPr="00EC668C" w:rsidRDefault="00FC3B0F" w:rsidP="00D1620E">
            <w:pPr>
              <w:pStyle w:val="NormaaliWWW"/>
              <w:rPr>
                <w:rFonts w:ascii="Tahoma" w:hAnsi="Tahoma" w:cs="Tahoma"/>
                <w:b/>
                <w:sz w:val="22"/>
                <w:szCs w:val="22"/>
              </w:rPr>
            </w:pPr>
            <w:r w:rsidRPr="00EC668C">
              <w:rPr>
                <w:rFonts w:ascii="Tahoma" w:hAnsi="Tahoma" w:cs="Tahoma"/>
                <w:b/>
                <w:sz w:val="22"/>
                <w:szCs w:val="22"/>
              </w:rPr>
              <w:t>Työskentelytapa ja soveltaminen (taito)</w:t>
            </w:r>
          </w:p>
        </w:tc>
        <w:tc>
          <w:tcPr>
            <w:tcW w:w="6939" w:type="dxa"/>
          </w:tcPr>
          <w:p w:rsidR="00FC3B0F" w:rsidRPr="00EC668C" w:rsidRDefault="00045F1E" w:rsidP="00D1620E">
            <w:pPr>
              <w:pStyle w:val="NormaaliWWW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Hoitotyön kliininen asiantuntija k</w:t>
            </w:r>
            <w:r w:rsidR="00FC3B0F" w:rsidRPr="00EC668C">
              <w:rPr>
                <w:rFonts w:ascii="Tahoma" w:hAnsi="Tahoma" w:cs="Tahoma"/>
                <w:sz w:val="22"/>
                <w:szCs w:val="22"/>
              </w:rPr>
              <w:t>ykenee ratkaisemaan vaativia ongelmia tutkimus- ja/tai innovaa</w:t>
            </w:r>
            <w:r w:rsidR="00F80131" w:rsidRPr="00EC668C">
              <w:rPr>
                <w:rFonts w:ascii="Tahoma" w:hAnsi="Tahoma" w:cs="Tahoma"/>
                <w:sz w:val="22"/>
                <w:szCs w:val="22"/>
              </w:rPr>
              <w:t>tiotoiminnassa, jossa tuotetaan uutta tietoa ja menettelytapoja yhdistäen eri alojen tietoja.</w:t>
            </w:r>
          </w:p>
        </w:tc>
      </w:tr>
      <w:tr w:rsidR="00FC3B0F" w:rsidRPr="000F7DD8" w:rsidTr="004F77F2">
        <w:trPr>
          <w:trHeight w:val="653"/>
        </w:trPr>
        <w:tc>
          <w:tcPr>
            <w:tcW w:w="2689" w:type="dxa"/>
          </w:tcPr>
          <w:p w:rsidR="00FC3B0F" w:rsidRPr="00EC668C" w:rsidRDefault="00FC3B0F" w:rsidP="00D1620E">
            <w:pPr>
              <w:pStyle w:val="NormaaliWWW"/>
              <w:rPr>
                <w:rFonts w:ascii="Tahoma" w:hAnsi="Tahoma" w:cs="Tahoma"/>
                <w:b/>
                <w:sz w:val="22"/>
                <w:szCs w:val="22"/>
              </w:rPr>
            </w:pPr>
            <w:r w:rsidRPr="00EC668C">
              <w:rPr>
                <w:rFonts w:ascii="Tahoma" w:hAnsi="Tahoma" w:cs="Tahoma"/>
                <w:b/>
                <w:sz w:val="22"/>
                <w:szCs w:val="22"/>
              </w:rPr>
              <w:t>Vastuu, johtaminen, yrittäjyys</w:t>
            </w:r>
          </w:p>
        </w:tc>
        <w:tc>
          <w:tcPr>
            <w:tcW w:w="6939" w:type="dxa"/>
          </w:tcPr>
          <w:p w:rsidR="00FC3B0F" w:rsidRPr="00EC668C" w:rsidRDefault="00045F1E" w:rsidP="00D1620E">
            <w:pPr>
              <w:pStyle w:val="NormaaliWWW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Hoitotyön kliininen asiantuntija k</w:t>
            </w:r>
            <w:r w:rsidR="00FC3B0F" w:rsidRPr="00EC668C">
              <w:rPr>
                <w:rFonts w:ascii="Tahoma" w:hAnsi="Tahoma" w:cs="Tahoma"/>
                <w:sz w:val="22"/>
                <w:szCs w:val="22"/>
              </w:rPr>
              <w:t xml:space="preserve">ykenee työskentelemään itsenäisesti </w:t>
            </w:r>
            <w:r w:rsidR="0038531C">
              <w:rPr>
                <w:rFonts w:ascii="Tahoma" w:hAnsi="Tahoma" w:cs="Tahoma"/>
                <w:sz w:val="22"/>
                <w:szCs w:val="22"/>
              </w:rPr>
              <w:t xml:space="preserve">sosiaali- ja </w:t>
            </w:r>
            <w:r w:rsidR="007D3F55">
              <w:rPr>
                <w:rFonts w:ascii="Tahoma" w:hAnsi="Tahoma" w:cs="Tahoma"/>
                <w:sz w:val="22"/>
                <w:szCs w:val="22"/>
              </w:rPr>
              <w:t>terveys</w:t>
            </w:r>
            <w:r w:rsidR="00FC3B0F" w:rsidRPr="00EC668C">
              <w:rPr>
                <w:rFonts w:ascii="Tahoma" w:hAnsi="Tahoma" w:cs="Tahoma"/>
                <w:sz w:val="22"/>
                <w:szCs w:val="22"/>
              </w:rPr>
              <w:t>alan vaativis</w:t>
            </w:r>
            <w:r>
              <w:rPr>
                <w:rFonts w:ascii="Tahoma" w:hAnsi="Tahoma" w:cs="Tahoma"/>
                <w:sz w:val="22"/>
                <w:szCs w:val="22"/>
              </w:rPr>
              <w:t>sa asiantuntijatehtävissä. Hän k</w:t>
            </w:r>
            <w:r w:rsidR="00FC3B0F" w:rsidRPr="00EC668C">
              <w:rPr>
                <w:rFonts w:ascii="Tahoma" w:hAnsi="Tahoma" w:cs="Tahoma"/>
                <w:sz w:val="22"/>
                <w:szCs w:val="22"/>
              </w:rPr>
              <w:t>ykenee johtamaan ja kehittämään monimutkaisia ennakoimattomia ja uusia str</w:t>
            </w:r>
            <w:r>
              <w:rPr>
                <w:rFonts w:ascii="Tahoma" w:hAnsi="Tahoma" w:cs="Tahoma"/>
                <w:sz w:val="22"/>
                <w:szCs w:val="22"/>
              </w:rPr>
              <w:t>ategisia lähestymistapoja. Hän k</w:t>
            </w:r>
            <w:r w:rsidR="00FC3B0F" w:rsidRPr="00EC668C">
              <w:rPr>
                <w:rFonts w:ascii="Tahoma" w:hAnsi="Tahoma" w:cs="Tahoma"/>
                <w:sz w:val="22"/>
                <w:szCs w:val="22"/>
              </w:rPr>
              <w:t>ykenee johtamaan asioita ja ihmisiä.</w:t>
            </w:r>
          </w:p>
        </w:tc>
      </w:tr>
      <w:tr w:rsidR="00FC3B0F" w:rsidRPr="000F7DD8" w:rsidTr="004F77F2">
        <w:tc>
          <w:tcPr>
            <w:tcW w:w="2689" w:type="dxa"/>
          </w:tcPr>
          <w:p w:rsidR="00FC3B0F" w:rsidRPr="00EC668C" w:rsidRDefault="00FC3B0F" w:rsidP="00D1620E">
            <w:pPr>
              <w:pStyle w:val="NormaaliWWW"/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EC668C">
              <w:rPr>
                <w:rFonts w:ascii="Tahoma" w:hAnsi="Tahoma" w:cs="Tahoma"/>
                <w:b/>
                <w:sz w:val="22"/>
                <w:szCs w:val="22"/>
              </w:rPr>
              <w:t>Arviointi</w:t>
            </w:r>
          </w:p>
        </w:tc>
        <w:tc>
          <w:tcPr>
            <w:tcW w:w="6939" w:type="dxa"/>
          </w:tcPr>
          <w:p w:rsidR="00FC3B0F" w:rsidRPr="00EC668C" w:rsidRDefault="00045F1E" w:rsidP="00656C93">
            <w:pPr>
              <w:pStyle w:val="NormaaliWWW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Hoitotyön kliininen asiantuntija k</w:t>
            </w:r>
            <w:r w:rsidR="00FC3B0F" w:rsidRPr="00EC668C">
              <w:rPr>
                <w:rFonts w:ascii="Tahoma" w:hAnsi="Tahoma" w:cs="Tahoma"/>
                <w:sz w:val="22"/>
                <w:szCs w:val="22"/>
              </w:rPr>
              <w:t>ykenee arvioimaan</w:t>
            </w:r>
            <w:r w:rsidR="00660FCC" w:rsidRPr="00EC668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C3B0F" w:rsidRPr="00EC668C">
              <w:rPr>
                <w:rFonts w:ascii="Tahoma" w:hAnsi="Tahoma" w:cs="Tahoma"/>
                <w:sz w:val="22"/>
                <w:szCs w:val="22"/>
              </w:rPr>
              <w:t>yksittäisten henkilö</w:t>
            </w:r>
            <w:r>
              <w:rPr>
                <w:rFonts w:ascii="Tahoma" w:hAnsi="Tahoma" w:cs="Tahoma"/>
                <w:sz w:val="22"/>
                <w:szCs w:val="22"/>
              </w:rPr>
              <w:t>iden ja ryhmien toimintaa. Hän k</w:t>
            </w:r>
            <w:r w:rsidR="00FC3B0F" w:rsidRPr="00EC668C">
              <w:rPr>
                <w:rFonts w:ascii="Tahoma" w:hAnsi="Tahoma" w:cs="Tahoma"/>
                <w:sz w:val="22"/>
                <w:szCs w:val="22"/>
              </w:rPr>
              <w:t>ykenee</w:t>
            </w:r>
            <w:r w:rsidR="00660FCC" w:rsidRPr="00EC668C">
              <w:rPr>
                <w:rFonts w:ascii="Tahoma" w:hAnsi="Tahoma" w:cs="Tahoma"/>
                <w:sz w:val="22"/>
                <w:szCs w:val="22"/>
              </w:rPr>
              <w:t xml:space="preserve"> arvioimaan alan osaamisvaatimuksia </w:t>
            </w:r>
            <w:r w:rsidR="00B52B1E" w:rsidRPr="00EC668C">
              <w:rPr>
                <w:rFonts w:ascii="Tahoma" w:hAnsi="Tahoma" w:cs="Tahoma"/>
                <w:sz w:val="22"/>
                <w:szCs w:val="22"/>
              </w:rPr>
              <w:t>sekä kehittämään</w:t>
            </w:r>
            <w:r w:rsidR="00FC3B0F" w:rsidRPr="00EC668C">
              <w:rPr>
                <w:rFonts w:ascii="Tahoma" w:hAnsi="Tahoma" w:cs="Tahoma"/>
                <w:sz w:val="22"/>
                <w:szCs w:val="22"/>
              </w:rPr>
              <w:t xml:space="preserve"> oman alansa </w:t>
            </w:r>
            <w:r w:rsidR="00660FCC" w:rsidRPr="00EC668C">
              <w:rPr>
                <w:rFonts w:ascii="Tahoma" w:hAnsi="Tahoma" w:cs="Tahoma"/>
                <w:sz w:val="22"/>
                <w:szCs w:val="22"/>
              </w:rPr>
              <w:t xml:space="preserve">osaamista, </w:t>
            </w:r>
            <w:r w:rsidR="00176214" w:rsidRPr="00EC668C">
              <w:rPr>
                <w:rFonts w:ascii="Tahoma" w:hAnsi="Tahoma" w:cs="Tahoma"/>
                <w:sz w:val="22"/>
                <w:szCs w:val="22"/>
              </w:rPr>
              <w:t>tietopohjaa</w:t>
            </w:r>
            <w:r w:rsidR="00FC3B0F" w:rsidRPr="00EC668C">
              <w:rPr>
                <w:rFonts w:ascii="Tahoma" w:hAnsi="Tahoma" w:cs="Tahoma"/>
                <w:sz w:val="22"/>
                <w:szCs w:val="22"/>
              </w:rPr>
              <w:t xml:space="preserve"> ja käytäntöjä ja/tai vastaamaan muiden kehityksestä.</w:t>
            </w:r>
          </w:p>
        </w:tc>
      </w:tr>
      <w:tr w:rsidR="00FC3B0F" w:rsidRPr="000F7DD8" w:rsidTr="004F77F2">
        <w:trPr>
          <w:trHeight w:val="872"/>
        </w:trPr>
        <w:tc>
          <w:tcPr>
            <w:tcW w:w="2689" w:type="dxa"/>
          </w:tcPr>
          <w:p w:rsidR="00FC3B0F" w:rsidRPr="00EC668C" w:rsidRDefault="00FC3B0F" w:rsidP="00D1620E">
            <w:pPr>
              <w:pStyle w:val="NormaaliWWW"/>
              <w:rPr>
                <w:rFonts w:ascii="Tahoma" w:hAnsi="Tahoma" w:cs="Tahoma"/>
                <w:b/>
                <w:sz w:val="22"/>
                <w:szCs w:val="22"/>
              </w:rPr>
            </w:pPr>
            <w:r w:rsidRPr="00EC668C">
              <w:rPr>
                <w:rFonts w:ascii="Tahoma" w:hAnsi="Tahoma" w:cs="Tahoma"/>
                <w:b/>
                <w:sz w:val="22"/>
                <w:szCs w:val="22"/>
              </w:rPr>
              <w:t>Elinikäisen oppimisen avaintaidot</w:t>
            </w:r>
          </w:p>
        </w:tc>
        <w:tc>
          <w:tcPr>
            <w:tcW w:w="6939" w:type="dxa"/>
          </w:tcPr>
          <w:p w:rsidR="00FC3B0F" w:rsidRPr="00EC668C" w:rsidRDefault="00045F1E" w:rsidP="00D1620E">
            <w:pPr>
              <w:pStyle w:val="NormaaliWWW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Hoitotyön kliininen asiantuntoja o</w:t>
            </w:r>
            <w:r w:rsidR="00FC3B0F" w:rsidRPr="00EC668C">
              <w:rPr>
                <w:rFonts w:ascii="Tahoma" w:hAnsi="Tahoma" w:cs="Tahoma"/>
                <w:sz w:val="22"/>
                <w:szCs w:val="22"/>
              </w:rPr>
              <w:t>maa valmi</w:t>
            </w:r>
            <w:r>
              <w:rPr>
                <w:rFonts w:ascii="Tahoma" w:hAnsi="Tahoma" w:cs="Tahoma"/>
                <w:sz w:val="22"/>
                <w:szCs w:val="22"/>
              </w:rPr>
              <w:t>udet jatkuvaan oppimiseen. Hän o</w:t>
            </w:r>
            <w:r w:rsidR="00FC3B0F" w:rsidRPr="00EC668C">
              <w:rPr>
                <w:rFonts w:ascii="Tahoma" w:hAnsi="Tahoma" w:cs="Tahoma"/>
                <w:sz w:val="22"/>
                <w:szCs w:val="22"/>
              </w:rPr>
              <w:t xml:space="preserve">saa viestiä hyvin suullisesti ja kirjallisesti sekä </w:t>
            </w:r>
            <w:r w:rsidR="007D3F55">
              <w:rPr>
                <w:rFonts w:ascii="Tahoma" w:hAnsi="Tahoma" w:cs="Tahoma"/>
                <w:sz w:val="22"/>
                <w:szCs w:val="22"/>
              </w:rPr>
              <w:t>terveys</w:t>
            </w:r>
            <w:r w:rsidR="00FC3B0F" w:rsidRPr="00EC668C">
              <w:rPr>
                <w:rFonts w:ascii="Tahoma" w:hAnsi="Tahoma" w:cs="Tahoma"/>
                <w:sz w:val="22"/>
                <w:szCs w:val="22"/>
              </w:rPr>
              <w:t>alan että alan</w:t>
            </w:r>
            <w:r>
              <w:rPr>
                <w:rFonts w:ascii="Tahoma" w:hAnsi="Tahoma" w:cs="Tahoma"/>
                <w:sz w:val="22"/>
                <w:szCs w:val="22"/>
              </w:rPr>
              <w:t xml:space="preserve"> ulkopuoliselle yleisölle. Hän k</w:t>
            </w:r>
            <w:r w:rsidR="00FC3B0F" w:rsidRPr="00EC668C">
              <w:rPr>
                <w:rFonts w:ascii="Tahoma" w:hAnsi="Tahoma" w:cs="Tahoma"/>
                <w:sz w:val="22"/>
                <w:szCs w:val="22"/>
              </w:rPr>
              <w:t>ykenee vaativaan kansainväliseen viestintään ja vuorovaikutukseen toisella kotimaisella ja vähintään yhdellä vieraalla kielellä.</w:t>
            </w:r>
          </w:p>
        </w:tc>
      </w:tr>
    </w:tbl>
    <w:p w:rsidR="00111AA6" w:rsidRDefault="00111AA6"/>
    <w:p w:rsidR="004F77F2" w:rsidRDefault="00045F1E">
      <w:r>
        <w:t>TYH</w:t>
      </w:r>
      <w:r w:rsidR="007D3F55">
        <w:t>18K</w:t>
      </w:r>
      <w:r w:rsidR="004F77F2">
        <w:t>Y_2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939"/>
      </w:tblGrid>
      <w:tr w:rsidR="004F77F2" w:rsidRPr="009359B9" w:rsidTr="004F77F2">
        <w:tc>
          <w:tcPr>
            <w:tcW w:w="2689" w:type="dxa"/>
            <w:shd w:val="clear" w:color="auto" w:fill="31A3B5"/>
          </w:tcPr>
          <w:p w:rsidR="004F77F2" w:rsidRPr="009359B9" w:rsidRDefault="004F77F2" w:rsidP="00541F7D">
            <w:pPr>
              <w:pStyle w:val="NormaaliWWW"/>
              <w:spacing w:before="120" w:after="120" w:line="276" w:lineRule="auto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Yleiset</w:t>
            </w:r>
            <w:r w:rsidRPr="009359B9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 </w:t>
            </w:r>
            <w:r w:rsidRPr="009359B9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kompetenssit</w:t>
            </w:r>
          </w:p>
        </w:tc>
        <w:tc>
          <w:tcPr>
            <w:tcW w:w="6939" w:type="dxa"/>
            <w:shd w:val="clear" w:color="auto" w:fill="31A3B5"/>
          </w:tcPr>
          <w:p w:rsidR="004F77F2" w:rsidRPr="009359B9" w:rsidRDefault="004F77F2" w:rsidP="00541F7D">
            <w:pPr>
              <w:pStyle w:val="NormaaliWWW"/>
              <w:spacing w:before="120" w:after="120" w:line="276" w:lineRule="auto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 w:rsidRPr="009359B9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Osaamisen kuvaus</w:t>
            </w:r>
          </w:p>
        </w:tc>
      </w:tr>
      <w:tr w:rsidR="004F77F2" w:rsidRPr="009359B9" w:rsidTr="004F77F2">
        <w:tc>
          <w:tcPr>
            <w:tcW w:w="2689" w:type="dxa"/>
          </w:tcPr>
          <w:p w:rsidR="004F77F2" w:rsidRPr="009359B9" w:rsidRDefault="004F77F2" w:rsidP="006C2F12">
            <w:pPr>
              <w:pStyle w:val="NormaaliWWW"/>
              <w:spacing w:after="0"/>
              <w:rPr>
                <w:rFonts w:ascii="Tahoma" w:hAnsi="Tahoma" w:cs="Tahoma"/>
                <w:b/>
                <w:sz w:val="22"/>
                <w:szCs w:val="22"/>
              </w:rPr>
            </w:pPr>
            <w:r w:rsidRPr="009359B9">
              <w:rPr>
                <w:rFonts w:ascii="Tahoma" w:hAnsi="Tahoma" w:cs="Tahoma"/>
                <w:b/>
                <w:sz w:val="22"/>
                <w:szCs w:val="22"/>
              </w:rPr>
              <w:t>Oppimisen taidot</w:t>
            </w:r>
          </w:p>
          <w:p w:rsidR="004F77F2" w:rsidRPr="009359B9" w:rsidRDefault="004F77F2" w:rsidP="006C2F12">
            <w:pPr>
              <w:pStyle w:val="NormaaliWWW"/>
              <w:spacing w:after="0"/>
              <w:rPr>
                <w:rFonts w:ascii="Tahoma" w:hAnsi="Tahoma" w:cs="Tahoma"/>
                <w:i/>
                <w:sz w:val="22"/>
                <w:szCs w:val="22"/>
              </w:rPr>
            </w:pPr>
            <w:r w:rsidRPr="009359B9">
              <w:rPr>
                <w:rFonts w:ascii="Tahoma" w:hAnsi="Tahoma" w:cs="Tahoma"/>
                <w:i/>
                <w:sz w:val="22"/>
                <w:szCs w:val="22"/>
              </w:rPr>
              <w:t>(Learning competence)</w:t>
            </w:r>
          </w:p>
        </w:tc>
        <w:tc>
          <w:tcPr>
            <w:tcW w:w="6939" w:type="dxa"/>
          </w:tcPr>
          <w:p w:rsidR="004F77F2" w:rsidRPr="009359B9" w:rsidRDefault="004F77F2" w:rsidP="006C2F12">
            <w:pPr>
              <w:pStyle w:val="NormaaliWWW"/>
              <w:numPr>
                <w:ilvl w:val="0"/>
                <w:numId w:val="1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monipuolisesti ja tavoitteellisesti arvioida ja kehittää asiantuntijuuttaan</w:t>
            </w:r>
          </w:p>
          <w:p w:rsidR="004F77F2" w:rsidRPr="009359B9" w:rsidRDefault="004F77F2" w:rsidP="006C2F12">
            <w:pPr>
              <w:pStyle w:val="NormaaliWWW"/>
              <w:numPr>
                <w:ilvl w:val="0"/>
                <w:numId w:val="1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hankkia, käsitellä, tuottaa ja arvioida tietoa kriittisesti ja eri alojen näkökulmasta</w:t>
            </w:r>
          </w:p>
          <w:p w:rsidR="004F77F2" w:rsidRPr="009359B9" w:rsidRDefault="004F77F2" w:rsidP="006C2F12">
            <w:pPr>
              <w:pStyle w:val="NormaaliWWW"/>
              <w:numPr>
                <w:ilvl w:val="0"/>
                <w:numId w:val="1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kykenee ottamaan vastuuta yhteisön tavoitteellisesta oppimisesta</w:t>
            </w:r>
          </w:p>
        </w:tc>
      </w:tr>
      <w:tr w:rsidR="004F77F2" w:rsidRPr="009359B9" w:rsidTr="004F77F2">
        <w:tc>
          <w:tcPr>
            <w:tcW w:w="2689" w:type="dxa"/>
          </w:tcPr>
          <w:p w:rsidR="004F77F2" w:rsidRPr="009359B9" w:rsidRDefault="004F77F2" w:rsidP="006C2F12">
            <w:pPr>
              <w:pStyle w:val="NormaaliWWW"/>
              <w:spacing w:after="0"/>
              <w:rPr>
                <w:rFonts w:ascii="Tahoma" w:hAnsi="Tahoma" w:cs="Tahoma"/>
                <w:b/>
                <w:sz w:val="22"/>
                <w:szCs w:val="22"/>
              </w:rPr>
            </w:pPr>
            <w:r w:rsidRPr="009359B9">
              <w:rPr>
                <w:rFonts w:ascii="Tahoma" w:hAnsi="Tahoma" w:cs="Tahoma"/>
                <w:b/>
                <w:sz w:val="22"/>
                <w:szCs w:val="22"/>
              </w:rPr>
              <w:t>Eettinen osaaminen</w:t>
            </w:r>
          </w:p>
          <w:p w:rsidR="004F77F2" w:rsidRPr="009359B9" w:rsidRDefault="004F77F2" w:rsidP="006C2F12">
            <w:pPr>
              <w:pStyle w:val="NormaaliWWW"/>
              <w:spacing w:after="0"/>
              <w:rPr>
                <w:rFonts w:ascii="Tahoma" w:hAnsi="Tahoma" w:cs="Tahoma"/>
                <w:i/>
                <w:sz w:val="22"/>
                <w:szCs w:val="22"/>
              </w:rPr>
            </w:pPr>
            <w:r w:rsidRPr="009359B9">
              <w:rPr>
                <w:rFonts w:ascii="Tahoma" w:hAnsi="Tahoma" w:cs="Tahoma"/>
                <w:i/>
                <w:sz w:val="22"/>
                <w:szCs w:val="22"/>
              </w:rPr>
              <w:t>(Ethical competence)</w:t>
            </w:r>
          </w:p>
          <w:p w:rsidR="004F77F2" w:rsidRPr="009359B9" w:rsidRDefault="004F77F2" w:rsidP="006C2F12">
            <w:pPr>
              <w:pStyle w:val="NormaaliWWW"/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939" w:type="dxa"/>
          </w:tcPr>
          <w:p w:rsidR="004F77F2" w:rsidRPr="009359B9" w:rsidRDefault="004F77F2" w:rsidP="006C2F12">
            <w:pPr>
              <w:pStyle w:val="NormaaliWWW"/>
              <w:numPr>
                <w:ilvl w:val="0"/>
                <w:numId w:val="2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kykenee ottamaan vastuuta yhteisön toiminnasta ja osaa arvioida toiminnan vaikutuksia</w:t>
            </w:r>
          </w:p>
          <w:p w:rsidR="004F77F2" w:rsidRPr="009359B9" w:rsidRDefault="004F77F2" w:rsidP="006C2F12">
            <w:pPr>
              <w:pStyle w:val="NormaaliWWW"/>
              <w:numPr>
                <w:ilvl w:val="0"/>
                <w:numId w:val="2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soveltaa alansa ammattieettisiä periaatteita asiantuntijana ja työelämän kehittäjänä</w:t>
            </w:r>
          </w:p>
          <w:p w:rsidR="004F77F2" w:rsidRPr="009359B9" w:rsidRDefault="004F77F2" w:rsidP="006C2F12">
            <w:pPr>
              <w:pStyle w:val="NormaaliWWW"/>
              <w:numPr>
                <w:ilvl w:val="0"/>
                <w:numId w:val="2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tehdä ratkaisuja ottaen huomioon yksilön ja yhteisön näkökulmat</w:t>
            </w:r>
          </w:p>
          <w:p w:rsidR="004F77F2" w:rsidRPr="009359B9" w:rsidRDefault="004F77F2" w:rsidP="006C2F12">
            <w:pPr>
              <w:pStyle w:val="NormaaliWWW"/>
              <w:numPr>
                <w:ilvl w:val="0"/>
                <w:numId w:val="2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edistää tasa-arvoisuuden periaatteiden toteutumista työyhteisössä</w:t>
            </w:r>
          </w:p>
          <w:p w:rsidR="004F77F2" w:rsidRPr="009359B9" w:rsidRDefault="004F77F2" w:rsidP="006C2F12">
            <w:pPr>
              <w:pStyle w:val="NormaaliWWW"/>
              <w:numPr>
                <w:ilvl w:val="0"/>
                <w:numId w:val="2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lastRenderedPageBreak/>
              <w:t>osaa edistää kestävän kehityksen periaatteiden ja yhteiskuntavastuun toteutumista</w:t>
            </w:r>
          </w:p>
          <w:p w:rsidR="004F77F2" w:rsidRPr="009359B9" w:rsidRDefault="004F77F2" w:rsidP="006C2F12">
            <w:pPr>
              <w:pStyle w:val="NormaaliWWW"/>
              <w:numPr>
                <w:ilvl w:val="0"/>
                <w:numId w:val="2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kykenee johtamaan yhteiskunnallisesti vaikuttavaa toimintaa eettisiin arvoihin perustuen</w:t>
            </w:r>
          </w:p>
        </w:tc>
      </w:tr>
      <w:tr w:rsidR="004F77F2" w:rsidRPr="009359B9" w:rsidTr="004F77F2">
        <w:tc>
          <w:tcPr>
            <w:tcW w:w="2689" w:type="dxa"/>
          </w:tcPr>
          <w:p w:rsidR="004F77F2" w:rsidRPr="009359B9" w:rsidRDefault="004F77F2" w:rsidP="006C2F12">
            <w:pPr>
              <w:pStyle w:val="NormaaliWWW"/>
              <w:spacing w:after="0"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9359B9">
              <w:rPr>
                <w:rFonts w:ascii="Tahoma" w:hAnsi="Tahoma" w:cs="Tahoma"/>
                <w:b/>
                <w:sz w:val="22"/>
                <w:szCs w:val="22"/>
              </w:rPr>
              <w:lastRenderedPageBreak/>
              <w:t>Työyhteisöosaaminen</w:t>
            </w:r>
          </w:p>
          <w:p w:rsidR="004F77F2" w:rsidRPr="009359B9" w:rsidRDefault="004F77F2" w:rsidP="006C2F12">
            <w:pPr>
              <w:pStyle w:val="NormaaliWWW"/>
              <w:spacing w:after="0"/>
              <w:rPr>
                <w:rFonts w:ascii="Tahoma" w:hAnsi="Tahoma" w:cs="Tahoma"/>
                <w:i/>
                <w:sz w:val="22"/>
                <w:szCs w:val="22"/>
              </w:rPr>
            </w:pPr>
            <w:r w:rsidRPr="009359B9">
              <w:rPr>
                <w:rFonts w:ascii="Tahoma" w:hAnsi="Tahoma" w:cs="Tahoma"/>
                <w:i/>
                <w:sz w:val="22"/>
                <w:szCs w:val="22"/>
              </w:rPr>
              <w:t>(Working community competence)</w:t>
            </w:r>
          </w:p>
        </w:tc>
        <w:tc>
          <w:tcPr>
            <w:tcW w:w="6939" w:type="dxa"/>
          </w:tcPr>
          <w:p w:rsidR="004F77F2" w:rsidRPr="009359B9" w:rsidRDefault="004F77F2" w:rsidP="006C2F12">
            <w:pPr>
              <w:pStyle w:val="NormaaliWWW"/>
              <w:numPr>
                <w:ilvl w:val="0"/>
                <w:numId w:val="3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kehittää ja arvioida työyhteisön toimintaa ja työhyvinvointia</w:t>
            </w:r>
          </w:p>
          <w:p w:rsidR="004F77F2" w:rsidRPr="009359B9" w:rsidRDefault="004F77F2" w:rsidP="006C2F12">
            <w:pPr>
              <w:pStyle w:val="NormaaliWWW"/>
              <w:numPr>
                <w:ilvl w:val="0"/>
                <w:numId w:val="3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kehittää työelämän monialaista viestintää ja vuorovaikutusta</w:t>
            </w:r>
          </w:p>
          <w:p w:rsidR="004F77F2" w:rsidRPr="009359B9" w:rsidRDefault="004F77F2" w:rsidP="006C2F12">
            <w:pPr>
              <w:pStyle w:val="NormaaliWWW"/>
              <w:numPr>
                <w:ilvl w:val="0"/>
                <w:numId w:val="3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soveltaa tieto- ja viestintätekniikkaa tehtävissään</w:t>
            </w:r>
          </w:p>
          <w:p w:rsidR="004F77F2" w:rsidRPr="009359B9" w:rsidRDefault="004F77F2" w:rsidP="006C2F12">
            <w:pPr>
              <w:pStyle w:val="NormaaliWWW"/>
              <w:numPr>
                <w:ilvl w:val="0"/>
                <w:numId w:val="3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luoda verkostoja ja kumppanuuksia</w:t>
            </w:r>
          </w:p>
          <w:p w:rsidR="004F77F2" w:rsidRPr="009359B9" w:rsidRDefault="004F77F2" w:rsidP="006C2F12">
            <w:pPr>
              <w:pStyle w:val="NormaaliWWW"/>
              <w:numPr>
                <w:ilvl w:val="0"/>
                <w:numId w:val="3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johtaa ja uudistaa toimintaa monimutkaisissa ja ennakoimattomissa toimintaympäristöissä</w:t>
            </w:r>
          </w:p>
          <w:p w:rsidR="004F77F2" w:rsidRPr="009359B9" w:rsidRDefault="004F77F2" w:rsidP="006C2F12">
            <w:pPr>
              <w:pStyle w:val="NormaaliWWW"/>
              <w:numPr>
                <w:ilvl w:val="0"/>
                <w:numId w:val="3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 xml:space="preserve">kykenee toimimaan vaativissa asiantuntijatehtävissä, johtamistehtävissä ja yrittäjänä </w:t>
            </w:r>
          </w:p>
        </w:tc>
      </w:tr>
      <w:tr w:rsidR="004F77F2" w:rsidRPr="009359B9" w:rsidTr="004F77F2">
        <w:tc>
          <w:tcPr>
            <w:tcW w:w="2689" w:type="dxa"/>
          </w:tcPr>
          <w:p w:rsidR="004F77F2" w:rsidRPr="009359B9" w:rsidRDefault="004F77F2" w:rsidP="006C2F12">
            <w:pPr>
              <w:pStyle w:val="NormaaliWWW"/>
              <w:spacing w:after="0"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9359B9">
              <w:rPr>
                <w:rFonts w:ascii="Tahoma" w:hAnsi="Tahoma" w:cs="Tahoma"/>
                <w:b/>
                <w:sz w:val="22"/>
                <w:szCs w:val="22"/>
              </w:rPr>
              <w:t>Innovaatio-osaaminen</w:t>
            </w:r>
          </w:p>
          <w:p w:rsidR="004F77F2" w:rsidRPr="009359B9" w:rsidRDefault="004F77F2" w:rsidP="006C2F12">
            <w:pPr>
              <w:pStyle w:val="NormaaliWWW"/>
              <w:spacing w:after="0" w:line="276" w:lineRule="auto"/>
              <w:rPr>
                <w:rFonts w:ascii="Tahoma" w:hAnsi="Tahoma" w:cs="Tahoma"/>
                <w:i/>
                <w:sz w:val="22"/>
                <w:szCs w:val="22"/>
              </w:rPr>
            </w:pPr>
            <w:r w:rsidRPr="009359B9">
              <w:rPr>
                <w:rFonts w:ascii="Tahoma" w:hAnsi="Tahoma" w:cs="Tahoma"/>
                <w:i/>
                <w:sz w:val="22"/>
                <w:szCs w:val="22"/>
              </w:rPr>
              <w:t>(Innovation competence)</w:t>
            </w:r>
          </w:p>
        </w:tc>
        <w:tc>
          <w:tcPr>
            <w:tcW w:w="6939" w:type="dxa"/>
          </w:tcPr>
          <w:p w:rsidR="004F77F2" w:rsidRPr="009359B9" w:rsidRDefault="004F77F2" w:rsidP="006C2F12">
            <w:pPr>
              <w:pStyle w:val="NormaaliWWW"/>
              <w:numPr>
                <w:ilvl w:val="0"/>
                <w:numId w:val="4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tuottaa uutta tietoa ja uudistaa toimintatapoja yhdistäen eri alojen osaamista</w:t>
            </w:r>
          </w:p>
          <w:p w:rsidR="004F77F2" w:rsidRPr="009359B9" w:rsidRDefault="004F77F2" w:rsidP="006C2F12">
            <w:pPr>
              <w:pStyle w:val="NormaaliWWW"/>
              <w:numPr>
                <w:ilvl w:val="0"/>
                <w:numId w:val="4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johtaa projekteja</w:t>
            </w:r>
          </w:p>
          <w:p w:rsidR="004F77F2" w:rsidRPr="009359B9" w:rsidRDefault="004F77F2" w:rsidP="006C2F12">
            <w:pPr>
              <w:pStyle w:val="NormaaliWWW"/>
              <w:numPr>
                <w:ilvl w:val="0"/>
                <w:numId w:val="4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johtaa tutkimus-, kehittämis- ja innovaatiohankkeita sekä hallitsee tutkimus- ja kehitystoiminnan menetelmiä</w:t>
            </w:r>
          </w:p>
          <w:p w:rsidR="004F77F2" w:rsidRPr="009359B9" w:rsidRDefault="004F77F2" w:rsidP="006C2F12">
            <w:pPr>
              <w:pStyle w:val="NormaaliWWW"/>
              <w:numPr>
                <w:ilvl w:val="0"/>
                <w:numId w:val="4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kehittää asiakaslähtöistä, kestävää ja taloudellisesti kannattavaa toimintaa</w:t>
            </w:r>
          </w:p>
        </w:tc>
      </w:tr>
      <w:tr w:rsidR="004F77F2" w:rsidRPr="009359B9" w:rsidTr="004F77F2">
        <w:tc>
          <w:tcPr>
            <w:tcW w:w="2689" w:type="dxa"/>
          </w:tcPr>
          <w:p w:rsidR="004F77F2" w:rsidRDefault="00051E8C" w:rsidP="006C2F12">
            <w:pPr>
              <w:pStyle w:val="NormaaliWWW"/>
              <w:spacing w:after="0"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Kansainvälisyys-osaaminen</w:t>
            </w:r>
          </w:p>
          <w:p w:rsidR="00051E8C" w:rsidRPr="009359B9" w:rsidRDefault="00051E8C" w:rsidP="006C2F12">
            <w:pPr>
              <w:pStyle w:val="NormaaliWWW"/>
              <w:spacing w:after="0" w:line="276" w:lineRule="auto"/>
              <w:rPr>
                <w:rFonts w:ascii="Tahoma" w:hAnsi="Tahoma" w:cs="Tahoma"/>
                <w:i/>
                <w:sz w:val="22"/>
                <w:szCs w:val="22"/>
              </w:rPr>
            </w:pPr>
            <w:r w:rsidRPr="00051E8C">
              <w:rPr>
                <w:rFonts w:ascii="Tahoma" w:hAnsi="Tahoma" w:cs="Tahoma"/>
                <w:i/>
                <w:sz w:val="22"/>
                <w:szCs w:val="22"/>
              </w:rPr>
              <w:t>(International competence</w:t>
            </w:r>
            <w:r>
              <w:rPr>
                <w:rFonts w:ascii="Tahoma" w:hAnsi="Tahoma" w:cs="Tahoma"/>
                <w:b/>
                <w:sz w:val="22"/>
                <w:szCs w:val="22"/>
              </w:rPr>
              <w:t>)</w:t>
            </w:r>
          </w:p>
        </w:tc>
        <w:tc>
          <w:tcPr>
            <w:tcW w:w="6939" w:type="dxa"/>
          </w:tcPr>
          <w:p w:rsidR="004F77F2" w:rsidRPr="009359B9" w:rsidRDefault="004F77F2" w:rsidP="006C2F12">
            <w:pPr>
              <w:pStyle w:val="NormaaliWWW"/>
              <w:numPr>
                <w:ilvl w:val="0"/>
                <w:numId w:val="5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kykenee kansainväliseen viestintään työtehtävissään ja toiminnan kehittämisessä</w:t>
            </w:r>
          </w:p>
          <w:p w:rsidR="004F77F2" w:rsidRPr="009359B9" w:rsidRDefault="004F77F2" w:rsidP="006C2F12">
            <w:pPr>
              <w:pStyle w:val="NormaaliWWW"/>
              <w:numPr>
                <w:ilvl w:val="0"/>
                <w:numId w:val="5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toimia kansainvälisissä toimintaympäristöissä</w:t>
            </w:r>
          </w:p>
          <w:p w:rsidR="004F77F2" w:rsidRPr="009359B9" w:rsidRDefault="004F77F2" w:rsidP="006C2F12">
            <w:pPr>
              <w:pStyle w:val="NormaaliWWW"/>
              <w:numPr>
                <w:ilvl w:val="0"/>
                <w:numId w:val="5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9359B9">
              <w:rPr>
                <w:rFonts w:ascii="Tahoma" w:hAnsi="Tahoma" w:cs="Tahoma"/>
                <w:sz w:val="22"/>
                <w:szCs w:val="22"/>
              </w:rPr>
              <w:t>osaa ennakoida kansainvälisyyskehityksen vaikutuksia ja mahdollisuuksia omalla alallaan</w:t>
            </w:r>
          </w:p>
        </w:tc>
      </w:tr>
      <w:tr w:rsidR="004F77F2" w:rsidRPr="009359B9" w:rsidTr="004F77F2">
        <w:tc>
          <w:tcPr>
            <w:tcW w:w="2689" w:type="dxa"/>
            <w:shd w:val="clear" w:color="auto" w:fill="31A3B5"/>
          </w:tcPr>
          <w:p w:rsidR="004F77F2" w:rsidRPr="009E7D34" w:rsidRDefault="004F77F2" w:rsidP="003E553F">
            <w:pPr>
              <w:pStyle w:val="NormaaliWWW"/>
              <w:spacing w:before="120" w:after="120" w:line="276" w:lineRule="auto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 w:rsidRPr="009E7D34"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  <w:t>Alakohtainen ammatillinen erityisosaaminen</w:t>
            </w:r>
          </w:p>
        </w:tc>
        <w:tc>
          <w:tcPr>
            <w:tcW w:w="6939" w:type="dxa"/>
            <w:shd w:val="clear" w:color="auto" w:fill="31A3B5"/>
          </w:tcPr>
          <w:p w:rsidR="004F77F2" w:rsidRPr="009E7D34" w:rsidRDefault="004F77F2" w:rsidP="003E553F">
            <w:pPr>
              <w:spacing w:before="120" w:after="120"/>
              <w:textAlignment w:val="baseline"/>
              <w:rPr>
                <w:rFonts w:ascii="Tahoma" w:eastAsia="Times New Roman" w:hAnsi="Tahoma" w:cs="Tahoma"/>
                <w:color w:val="FFFFFF" w:themeColor="background1"/>
                <w:lang w:eastAsia="fi-FI"/>
              </w:rPr>
            </w:pPr>
            <w:r w:rsidRPr="009E7D34">
              <w:rPr>
                <w:rFonts w:ascii="Tahoma" w:hAnsi="Tahoma" w:cs="Tahoma"/>
                <w:b/>
                <w:color w:val="FFFFFF" w:themeColor="background1"/>
              </w:rPr>
              <w:t>Osaamisen kuvaus</w:t>
            </w:r>
            <w:r w:rsidRPr="009E7D34">
              <w:rPr>
                <w:rFonts w:ascii="Tahoma" w:eastAsia="Times New Roman" w:hAnsi="Tahoma" w:cs="Tahoma"/>
                <w:color w:val="FFFFFF" w:themeColor="background1"/>
                <w:lang w:eastAsia="fi-FI"/>
              </w:rPr>
              <w:t xml:space="preserve"> </w:t>
            </w:r>
          </w:p>
          <w:p w:rsidR="004F77F2" w:rsidRPr="009E7D34" w:rsidRDefault="00051E8C" w:rsidP="003E553F">
            <w:pPr>
              <w:spacing w:before="120" w:after="120"/>
              <w:textAlignment w:val="baseline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eastAsia="Times New Roman" w:hAnsi="Tahoma" w:cs="Tahoma"/>
                <w:color w:val="FFFFFF" w:themeColor="background1"/>
                <w:lang w:eastAsia="fi-FI"/>
              </w:rPr>
              <w:t>Hoitotyön kliininen asiantuntija</w:t>
            </w:r>
          </w:p>
        </w:tc>
      </w:tr>
      <w:tr w:rsidR="004F77F2" w:rsidRPr="009359B9" w:rsidTr="004F77F2">
        <w:tc>
          <w:tcPr>
            <w:tcW w:w="2689" w:type="dxa"/>
            <w:shd w:val="clear" w:color="auto" w:fill="FFFFFF" w:themeFill="background1"/>
          </w:tcPr>
          <w:p w:rsidR="004F77F2" w:rsidRPr="00A619A1" w:rsidRDefault="00A619A1" w:rsidP="006C2F12">
            <w:pPr>
              <w:pStyle w:val="NormaaliWWW"/>
              <w:spacing w:after="0" w:line="276" w:lineRule="auto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A619A1">
              <w:rPr>
                <w:rFonts w:ascii="Tahoma" w:hAnsi="Tahoma" w:cs="Tahoma"/>
                <w:b/>
                <w:sz w:val="22"/>
                <w:szCs w:val="22"/>
                <w:lang w:val="en-US"/>
              </w:rPr>
              <w:t>Hoitotyön kliininen erityisosaaminen</w:t>
            </w:r>
          </w:p>
        </w:tc>
        <w:tc>
          <w:tcPr>
            <w:tcW w:w="6939" w:type="dxa"/>
            <w:shd w:val="clear" w:color="auto" w:fill="FFFFFF" w:themeFill="background1"/>
          </w:tcPr>
          <w:p w:rsidR="004F77F2" w:rsidRDefault="00A619A1" w:rsidP="00A619A1">
            <w:pPr>
              <w:pStyle w:val="NormaaliWWW"/>
              <w:numPr>
                <w:ilvl w:val="0"/>
                <w:numId w:val="5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osaa tutkia ja arvioida potilaan terveydentilan ja määritellä hoidon tarpeen</w:t>
            </w:r>
          </w:p>
          <w:p w:rsidR="00A619A1" w:rsidRDefault="00A619A1" w:rsidP="00A619A1">
            <w:pPr>
              <w:pStyle w:val="NormaaliWWW"/>
              <w:numPr>
                <w:ilvl w:val="0"/>
                <w:numId w:val="5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osaa tehdä päätöksiä hoidon toteutuksesta</w:t>
            </w:r>
          </w:p>
          <w:p w:rsidR="00A619A1" w:rsidRPr="00A619A1" w:rsidRDefault="00A619A1" w:rsidP="00A619A1">
            <w:pPr>
              <w:pStyle w:val="NormaaliWWW"/>
              <w:numPr>
                <w:ilvl w:val="0"/>
                <w:numId w:val="5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osaa suunnitella ja toteuttaa oman alansa laaja-alaista tietoa ja taitoa vaativaa kliinistä työtä</w:t>
            </w:r>
          </w:p>
        </w:tc>
      </w:tr>
      <w:tr w:rsidR="004F77F2" w:rsidRPr="009359B9" w:rsidTr="004F77F2">
        <w:tc>
          <w:tcPr>
            <w:tcW w:w="2689" w:type="dxa"/>
            <w:shd w:val="clear" w:color="auto" w:fill="FFFFFF" w:themeFill="background1"/>
          </w:tcPr>
          <w:p w:rsidR="004F77F2" w:rsidRPr="009359B9" w:rsidRDefault="00A619A1" w:rsidP="006C2F12">
            <w:pPr>
              <w:pStyle w:val="NormaaliWWW"/>
              <w:spacing w:after="0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Terveyden edistämisen osaaminen</w:t>
            </w:r>
          </w:p>
        </w:tc>
        <w:tc>
          <w:tcPr>
            <w:tcW w:w="6939" w:type="dxa"/>
            <w:shd w:val="clear" w:color="auto" w:fill="FFFFFF" w:themeFill="background1"/>
          </w:tcPr>
          <w:p w:rsidR="004F77F2" w:rsidRPr="00A619A1" w:rsidRDefault="00A619A1" w:rsidP="00A619A1">
            <w:pPr>
              <w:pStyle w:val="NormaaliWWW"/>
              <w:numPr>
                <w:ilvl w:val="0"/>
                <w:numId w:val="5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osaa hyödyntää osallistavia menetelmiä erilaisten asiakkaiden ja asiakasryhmien terveyden edistämisessä</w:t>
            </w:r>
          </w:p>
        </w:tc>
      </w:tr>
      <w:tr w:rsidR="004F77F2" w:rsidRPr="009359B9" w:rsidTr="004F77F2">
        <w:tc>
          <w:tcPr>
            <w:tcW w:w="2689" w:type="dxa"/>
            <w:shd w:val="clear" w:color="auto" w:fill="FFFFFF" w:themeFill="background1"/>
          </w:tcPr>
          <w:p w:rsidR="004F77F2" w:rsidRPr="00A619A1" w:rsidRDefault="00A619A1" w:rsidP="006C2F12">
            <w:pPr>
              <w:pStyle w:val="NormaaliWWW"/>
              <w:spacing w:after="0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A619A1">
              <w:rPr>
                <w:rFonts w:ascii="Tahoma" w:hAnsi="Tahoma" w:cs="Tahoma"/>
                <w:b/>
                <w:sz w:val="22"/>
                <w:szCs w:val="22"/>
                <w:lang w:val="en-US"/>
              </w:rPr>
              <w:t>Koulutus-, konsultaa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-</w:t>
            </w:r>
            <w:r w:rsidRPr="00A619A1">
              <w:rPr>
                <w:rFonts w:ascii="Tahoma" w:hAnsi="Tahoma" w:cs="Tahoma"/>
                <w:b/>
                <w:sz w:val="22"/>
                <w:szCs w:val="22"/>
                <w:lang w:val="en-US"/>
              </w:rPr>
              <w:t>tio- ja ohjaamis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-</w:t>
            </w:r>
            <w:r w:rsidRPr="00A619A1">
              <w:rPr>
                <w:rFonts w:ascii="Tahoma" w:hAnsi="Tahoma" w:cs="Tahoma"/>
                <w:b/>
                <w:sz w:val="22"/>
                <w:szCs w:val="22"/>
                <w:lang w:val="en-US"/>
              </w:rPr>
              <w:t>osaaminen</w:t>
            </w:r>
          </w:p>
        </w:tc>
        <w:tc>
          <w:tcPr>
            <w:tcW w:w="6939" w:type="dxa"/>
            <w:shd w:val="clear" w:color="auto" w:fill="FFFFFF" w:themeFill="background1"/>
          </w:tcPr>
          <w:p w:rsidR="004F77F2" w:rsidRDefault="00A619A1" w:rsidP="00A619A1">
            <w:pPr>
              <w:pStyle w:val="NormaaliWWW"/>
              <w:numPr>
                <w:ilvl w:val="0"/>
                <w:numId w:val="5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osaa asiantuntijana kouluttaa erilaisia työntekijä- ja ammattiryhmiä sekä opiskelijoita</w:t>
            </w:r>
          </w:p>
          <w:p w:rsidR="00A619A1" w:rsidRPr="00A619A1" w:rsidRDefault="00A619A1" w:rsidP="00A619A1">
            <w:pPr>
              <w:pStyle w:val="NormaaliWWW"/>
              <w:numPr>
                <w:ilvl w:val="0"/>
                <w:numId w:val="5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osaa konsultoida eri ammattiryhmiä päätöksenteon monipuolistamiseksi</w:t>
            </w:r>
          </w:p>
        </w:tc>
      </w:tr>
      <w:tr w:rsidR="00A619A1" w:rsidRPr="009359B9" w:rsidTr="004F77F2">
        <w:tc>
          <w:tcPr>
            <w:tcW w:w="2689" w:type="dxa"/>
            <w:shd w:val="clear" w:color="auto" w:fill="FFFFFF" w:themeFill="background1"/>
          </w:tcPr>
          <w:p w:rsidR="00A619A1" w:rsidRPr="00A619A1" w:rsidRDefault="00A619A1" w:rsidP="006C2F12">
            <w:pPr>
              <w:pStyle w:val="NormaaliWWW"/>
              <w:spacing w:after="0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Hoitotyön johtamis-osaaminen</w:t>
            </w:r>
            <w:bookmarkStart w:id="0" w:name="_GoBack"/>
            <w:bookmarkEnd w:id="0"/>
          </w:p>
        </w:tc>
        <w:tc>
          <w:tcPr>
            <w:tcW w:w="6939" w:type="dxa"/>
            <w:shd w:val="clear" w:color="auto" w:fill="FFFFFF" w:themeFill="background1"/>
          </w:tcPr>
          <w:p w:rsidR="00A619A1" w:rsidRDefault="00A619A1" w:rsidP="00A619A1">
            <w:pPr>
              <w:pStyle w:val="NormaaliWWW"/>
              <w:numPr>
                <w:ilvl w:val="0"/>
                <w:numId w:val="5"/>
              </w:numPr>
              <w:spacing w:after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osaa johtaa oman työyhteisön kliinisen työn kehittämistä</w:t>
            </w:r>
          </w:p>
        </w:tc>
      </w:tr>
    </w:tbl>
    <w:p w:rsidR="004F77F2" w:rsidRDefault="004F77F2"/>
    <w:sectPr w:rsidR="004F77F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37B7"/>
    <w:multiLevelType w:val="hybridMultilevel"/>
    <w:tmpl w:val="29840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C1DE7"/>
    <w:multiLevelType w:val="hybridMultilevel"/>
    <w:tmpl w:val="CAC8FB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F17DF"/>
    <w:multiLevelType w:val="hybridMultilevel"/>
    <w:tmpl w:val="DA0C9B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30753"/>
    <w:multiLevelType w:val="hybridMultilevel"/>
    <w:tmpl w:val="3E406B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0672A"/>
    <w:multiLevelType w:val="hybridMultilevel"/>
    <w:tmpl w:val="E76241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6243F"/>
    <w:multiLevelType w:val="hybridMultilevel"/>
    <w:tmpl w:val="65F618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1462E"/>
    <w:multiLevelType w:val="hybridMultilevel"/>
    <w:tmpl w:val="FE20A1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205FB"/>
    <w:multiLevelType w:val="hybridMultilevel"/>
    <w:tmpl w:val="B1745458"/>
    <w:lvl w:ilvl="0" w:tplc="A20E8B18">
      <w:start w:val="10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B0F"/>
    <w:rsid w:val="00045F1E"/>
    <w:rsid w:val="00051E8C"/>
    <w:rsid w:val="00111AA6"/>
    <w:rsid w:val="00176214"/>
    <w:rsid w:val="00203261"/>
    <w:rsid w:val="0038531C"/>
    <w:rsid w:val="003E553F"/>
    <w:rsid w:val="004A6801"/>
    <w:rsid w:val="004F77F2"/>
    <w:rsid w:val="00541F7D"/>
    <w:rsid w:val="00656C93"/>
    <w:rsid w:val="00660FCC"/>
    <w:rsid w:val="007D3F55"/>
    <w:rsid w:val="00803133"/>
    <w:rsid w:val="00A16375"/>
    <w:rsid w:val="00A619A1"/>
    <w:rsid w:val="00AC2354"/>
    <w:rsid w:val="00B52B1E"/>
    <w:rsid w:val="00D370E4"/>
    <w:rsid w:val="00EC668C"/>
    <w:rsid w:val="00F80131"/>
    <w:rsid w:val="00F84B01"/>
    <w:rsid w:val="00FC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FC5F"/>
  <w15:chartTrackingRefBased/>
  <w15:docId w15:val="{37E1AE3E-E012-438D-A057-30CC7C26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C3B0F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FC3B0F"/>
    <w:pPr>
      <w:spacing w:after="27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59"/>
    <w:rsid w:val="00FC3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470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Savonia-ammattikorkeakoulun kuntayhtymä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Pirjo Leppäsaari</dc:creator>
  <cp:keywords/>
  <dc:description/>
  <cp:lastModifiedBy>Marja Kopeli</cp:lastModifiedBy>
  <cp:revision>10</cp:revision>
  <dcterms:created xsi:type="dcterms:W3CDTF">2017-08-21T06:02:00Z</dcterms:created>
  <dcterms:modified xsi:type="dcterms:W3CDTF">2017-08-21T08:18:00Z</dcterms:modified>
</cp:coreProperties>
</file>