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1E" w:rsidRPr="00E45ABC" w:rsidRDefault="0047711E" w:rsidP="0047711E">
      <w:pPr>
        <w:rPr>
          <w:snapToGrid w:val="0"/>
          <w:color w:val="FF0000"/>
        </w:rPr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6344"/>
      </w:tblGrid>
      <w:tr w:rsidR="0047711E" w:rsidRPr="000F7DD8" w:rsidTr="00B75903">
        <w:tc>
          <w:tcPr>
            <w:tcW w:w="1809" w:type="dxa"/>
            <w:shd w:val="clear" w:color="auto" w:fill="31A3B5"/>
          </w:tcPr>
          <w:p w:rsidR="0047711E" w:rsidRPr="000F7DD8" w:rsidRDefault="0047711E" w:rsidP="00D1620E">
            <w:pPr>
              <w:pStyle w:val="Kansilehdenotsikontarkenne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31A3B5"/>
          </w:tcPr>
          <w:p w:rsidR="0047711E" w:rsidRPr="000F7DD8" w:rsidRDefault="0047711E" w:rsidP="00D1620E">
            <w:pPr>
              <w:pStyle w:val="Kansilehdenotsikontarkenne"/>
              <w:rPr>
                <w:rFonts w:asciiTheme="minorHAnsi" w:hAnsiTheme="minorHAnsi" w:cstheme="majorHAnsi"/>
                <w:sz w:val="22"/>
                <w:szCs w:val="22"/>
                <w:lang w:val="en-US"/>
              </w:rPr>
            </w:pPr>
            <w:proofErr w:type="spellStart"/>
            <w:r w:rsidRPr="000F7DD8">
              <w:rPr>
                <w:rFonts w:asciiTheme="minorHAnsi" w:hAnsiTheme="minorHAnsi" w:cstheme="majorHAnsi"/>
                <w:sz w:val="22"/>
                <w:szCs w:val="22"/>
                <w:lang w:val="en-US"/>
              </w:rPr>
              <w:t>Laajuus</w:t>
            </w:r>
            <w:proofErr w:type="spellEnd"/>
          </w:p>
        </w:tc>
        <w:tc>
          <w:tcPr>
            <w:tcW w:w="6344" w:type="dxa"/>
            <w:shd w:val="clear" w:color="auto" w:fill="31A3B5"/>
          </w:tcPr>
          <w:p w:rsidR="0047711E" w:rsidRPr="000F7DD8" w:rsidRDefault="0047711E" w:rsidP="00D1620E">
            <w:pPr>
              <w:pStyle w:val="Kansilehdenotsikontarkenne"/>
              <w:rPr>
                <w:rFonts w:asciiTheme="minorHAnsi" w:hAnsiTheme="minorHAnsi" w:cstheme="majorHAnsi"/>
                <w:sz w:val="22"/>
                <w:szCs w:val="22"/>
              </w:rPr>
            </w:pPr>
            <w:r w:rsidRPr="000F7DD8">
              <w:rPr>
                <w:rFonts w:asciiTheme="minorHAnsi" w:hAnsiTheme="minorHAnsi" w:cstheme="majorHAnsi"/>
                <w:sz w:val="22"/>
                <w:szCs w:val="22"/>
              </w:rPr>
              <w:t>Luonnehdinta opinnoista lyhyesti</w:t>
            </w:r>
          </w:p>
        </w:tc>
      </w:tr>
      <w:tr w:rsidR="0047711E" w:rsidRPr="000F7DD8" w:rsidTr="00D1620E">
        <w:tc>
          <w:tcPr>
            <w:tcW w:w="1809" w:type="dxa"/>
          </w:tcPr>
          <w:p w:rsidR="0047711E" w:rsidRPr="000F7DD8" w:rsidRDefault="0047711E" w:rsidP="00D1620E">
            <w:pPr>
              <w:rPr>
                <w:rFonts w:cstheme="majorHAnsi"/>
                <w:b/>
                <w:color w:val="FFC000" w:themeColor="accent4"/>
              </w:rPr>
            </w:pPr>
            <w:r w:rsidRPr="000F7DD8">
              <w:rPr>
                <w:rFonts w:cstheme="majorHAnsi"/>
                <w:b/>
              </w:rPr>
              <w:t>A</w:t>
            </w:r>
            <w:r>
              <w:rPr>
                <w:rFonts w:cstheme="majorHAnsi"/>
                <w:b/>
              </w:rPr>
              <w:t>lakohtaiset ammatilliset opinnot</w:t>
            </w:r>
          </w:p>
        </w:tc>
        <w:tc>
          <w:tcPr>
            <w:tcW w:w="1276" w:type="dxa"/>
          </w:tcPr>
          <w:p w:rsidR="0047711E" w:rsidRPr="000F7DD8" w:rsidRDefault="0047711E" w:rsidP="00D1620E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30 op</w:t>
            </w:r>
          </w:p>
        </w:tc>
        <w:tc>
          <w:tcPr>
            <w:tcW w:w="6344" w:type="dxa"/>
          </w:tcPr>
          <w:p w:rsidR="0047711E" w:rsidRPr="000F7DD8" w:rsidRDefault="0047711E" w:rsidP="00D1620E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Opinnot antavat valmiuksia asianomaisen alan tutkimustiedon ja ammattikäytännön kehit</w:t>
            </w:r>
            <w:r w:rsidR="00E45ABC">
              <w:rPr>
                <w:rFonts w:cstheme="majorHAnsi"/>
              </w:rPr>
              <w:t>yksen seuraamiseen</w:t>
            </w:r>
            <w:r w:rsidR="00603507">
              <w:rPr>
                <w:rFonts w:cstheme="majorHAnsi"/>
              </w:rPr>
              <w:t>, jota</w:t>
            </w:r>
            <w:r w:rsidRPr="000F7DD8">
              <w:rPr>
                <w:rFonts w:cstheme="majorHAnsi"/>
              </w:rPr>
              <w:t xml:space="preserve"> tutkinnon suorittaja voi käyttää alan vaativissa</w:t>
            </w:r>
            <w:r w:rsidR="00E45ABC">
              <w:rPr>
                <w:rFonts w:cstheme="majorHAnsi"/>
              </w:rPr>
              <w:t xml:space="preserve"> kliinisen asiantuntijan ja johtamistehtävissä</w:t>
            </w:r>
            <w:r w:rsidRPr="000F7DD8">
              <w:rPr>
                <w:rFonts w:cstheme="majorHAnsi"/>
              </w:rPr>
              <w:t xml:space="preserve"> (mm. analyyttisia -, projektinhallinta- sekä itsensä</w:t>
            </w:r>
            <w:r w:rsidR="00E45ABC">
              <w:rPr>
                <w:rFonts w:cstheme="majorHAnsi"/>
              </w:rPr>
              <w:t xml:space="preserve"> ja työyhteisönsä</w:t>
            </w:r>
            <w:r w:rsidRPr="000F7DD8">
              <w:rPr>
                <w:rFonts w:cstheme="majorHAnsi"/>
              </w:rPr>
              <w:t xml:space="preserve"> kehittämiseen liittyviä taitoja). Opinnot tukevat elinikäistä oppimista sekä kykyä jatkuvas</w:t>
            </w:r>
            <w:r w:rsidR="00E45ABC">
              <w:rPr>
                <w:rFonts w:cstheme="majorHAnsi"/>
              </w:rPr>
              <w:t>ti kehittää omaa ammatillista osaamistaan</w:t>
            </w:r>
            <w:r w:rsidRPr="000F7DD8">
              <w:rPr>
                <w:rFonts w:cstheme="majorHAnsi"/>
              </w:rPr>
              <w:t xml:space="preserve">. Opinnot suoritetaan osittain </w:t>
            </w:r>
            <w:r w:rsidR="00E45ABC">
              <w:rPr>
                <w:rFonts w:cstheme="majorHAnsi"/>
              </w:rPr>
              <w:t>oma</w:t>
            </w:r>
            <w:r w:rsidR="00105E0B">
              <w:rPr>
                <w:rFonts w:cstheme="majorHAnsi"/>
              </w:rPr>
              <w:t>n</w:t>
            </w:r>
            <w:r w:rsidR="00E45ABC">
              <w:rPr>
                <w:rFonts w:cstheme="majorHAnsi"/>
              </w:rPr>
              <w:t xml:space="preserve"> ammattikorkeakoulun yhteisinä opintoina ja osittain oman kliinisen </w:t>
            </w:r>
            <w:r w:rsidRPr="000F7DD8">
              <w:rPr>
                <w:rFonts w:cstheme="majorHAnsi"/>
              </w:rPr>
              <w:t>asiantu</w:t>
            </w:r>
            <w:r w:rsidR="00E45ABC">
              <w:rPr>
                <w:rFonts w:cstheme="majorHAnsi"/>
              </w:rPr>
              <w:t>ntijuusalueen mukaisesti viiden ammattikorkeakoulun konsortion yhteisinä opintoina.</w:t>
            </w:r>
          </w:p>
        </w:tc>
      </w:tr>
      <w:tr w:rsidR="0047711E" w:rsidRPr="000F7DD8" w:rsidTr="00D1620E">
        <w:tc>
          <w:tcPr>
            <w:tcW w:w="1809" w:type="dxa"/>
          </w:tcPr>
          <w:p w:rsidR="0047711E" w:rsidRPr="000F7DD8" w:rsidRDefault="0047711E" w:rsidP="00D1620E">
            <w:pPr>
              <w:rPr>
                <w:rFonts w:cstheme="majorHAnsi"/>
                <w:b/>
                <w:color w:val="FFC000" w:themeColor="accent4"/>
              </w:rPr>
            </w:pPr>
            <w:r w:rsidRPr="000F7DD8">
              <w:rPr>
                <w:rFonts w:cstheme="majorHAnsi"/>
                <w:b/>
              </w:rPr>
              <w:t>Savonian yhteiset opinnot</w:t>
            </w:r>
          </w:p>
        </w:tc>
        <w:tc>
          <w:tcPr>
            <w:tcW w:w="1276" w:type="dxa"/>
          </w:tcPr>
          <w:p w:rsidR="0047711E" w:rsidRPr="000F7DD8" w:rsidRDefault="0047711E" w:rsidP="00D1620E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30 op</w:t>
            </w:r>
          </w:p>
        </w:tc>
        <w:tc>
          <w:tcPr>
            <w:tcW w:w="6344" w:type="dxa"/>
          </w:tcPr>
          <w:p w:rsidR="0047711E" w:rsidRPr="000F7DD8" w:rsidRDefault="0047711E" w:rsidP="00D1620E">
            <w:pPr>
              <w:rPr>
                <w:rFonts w:cstheme="majorHAnsi"/>
                <w:iCs/>
              </w:rPr>
            </w:pPr>
            <w:r w:rsidRPr="000F7DD8">
              <w:rPr>
                <w:rFonts w:cstheme="majorHAnsi"/>
                <w:iCs/>
              </w:rPr>
              <w:t xml:space="preserve">Valinnaisilla opinnoilla tuetaan </w:t>
            </w:r>
            <w:r w:rsidR="00EA7EF8">
              <w:rPr>
                <w:rFonts w:cstheme="majorHAnsi"/>
                <w:iCs/>
              </w:rPr>
              <w:t xml:space="preserve">kliinisen </w:t>
            </w:r>
            <w:r w:rsidRPr="000F7DD8">
              <w:rPr>
                <w:rFonts w:cstheme="majorHAnsi"/>
                <w:iCs/>
              </w:rPr>
              <w:t>asiantuntijuuden kehittymistä</w:t>
            </w:r>
            <w:r w:rsidR="00603507">
              <w:rPr>
                <w:rFonts w:cstheme="majorHAnsi"/>
                <w:iCs/>
              </w:rPr>
              <w:t>,</w:t>
            </w:r>
            <w:r w:rsidRPr="000F7DD8">
              <w:rPr>
                <w:rFonts w:cstheme="majorHAnsi"/>
                <w:iCs/>
              </w:rPr>
              <w:t xml:space="preserve"> ja ne suuntautuvat opiskelijan </w:t>
            </w:r>
            <w:r w:rsidR="00EA7EF8">
              <w:rPr>
                <w:rFonts w:cstheme="majorHAnsi"/>
                <w:iCs/>
              </w:rPr>
              <w:t xml:space="preserve">oman </w:t>
            </w:r>
            <w:r w:rsidRPr="000F7DD8">
              <w:rPr>
                <w:rFonts w:cstheme="majorHAnsi"/>
                <w:iCs/>
              </w:rPr>
              <w:t>kiinnostuksen mukaan. Savonian opintotarjonnassa on käytettävissä mm. kaikille tarkoitettuja yhteisiä 5 op:n opintojaksoja. Muualta valittavien opintojen on oltava ylempää ammattikorkeakoulutasoa (VII).</w:t>
            </w:r>
          </w:p>
          <w:p w:rsidR="0047711E" w:rsidRPr="000F7DD8" w:rsidRDefault="0047711E" w:rsidP="00D1620E">
            <w:pPr>
              <w:rPr>
                <w:rFonts w:cstheme="majorHAnsi"/>
                <w:color w:val="FFC000" w:themeColor="accent4"/>
              </w:rPr>
            </w:pPr>
            <w:r w:rsidRPr="000F7DD8">
              <w:rPr>
                <w:rFonts w:cstheme="majorHAnsi"/>
              </w:rPr>
              <w:t>Työelämän kansainvälistyessä tutkinnon suorittajalla on mahdollisuus liikkua ja toimia oman alan</w:t>
            </w:r>
            <w:r w:rsidR="00EA7EF8">
              <w:rPr>
                <w:rFonts w:cstheme="majorHAnsi"/>
              </w:rPr>
              <w:t>sa</w:t>
            </w:r>
            <w:r w:rsidRPr="000F7DD8">
              <w:rPr>
                <w:rFonts w:cstheme="majorHAnsi"/>
              </w:rPr>
              <w:t xml:space="preserve"> kansainvälisessä ympäristössä. Opiskelija osaa viestiä, hankkia tietoa ja toimia</w:t>
            </w:r>
            <w:r w:rsidR="00847FC8">
              <w:rPr>
                <w:rFonts w:cstheme="majorHAnsi"/>
              </w:rPr>
              <w:t xml:space="preserve"> kansainvälisessä yhteistyössä.</w:t>
            </w:r>
          </w:p>
        </w:tc>
      </w:tr>
      <w:tr w:rsidR="0047711E" w:rsidRPr="000F7DD8" w:rsidTr="00D1620E">
        <w:tc>
          <w:tcPr>
            <w:tcW w:w="1809" w:type="dxa"/>
          </w:tcPr>
          <w:p w:rsidR="0047711E" w:rsidRPr="000F7DD8" w:rsidRDefault="0047711E" w:rsidP="00D1620E">
            <w:pPr>
              <w:rPr>
                <w:rFonts w:cstheme="majorHAnsi"/>
                <w:b/>
              </w:rPr>
            </w:pPr>
            <w:r w:rsidRPr="000F7DD8">
              <w:rPr>
                <w:rFonts w:cstheme="majorHAnsi"/>
                <w:b/>
              </w:rPr>
              <w:t>Opinnäytetyö</w:t>
            </w:r>
          </w:p>
          <w:p w:rsidR="0047711E" w:rsidRPr="000F7DD8" w:rsidRDefault="0047711E" w:rsidP="00D1620E">
            <w:pPr>
              <w:spacing w:before="120" w:after="120"/>
              <w:rPr>
                <w:rFonts w:cstheme="majorHAnsi"/>
                <w:b/>
                <w:color w:val="FFC000" w:themeColor="accent4"/>
              </w:rPr>
            </w:pPr>
          </w:p>
        </w:tc>
        <w:tc>
          <w:tcPr>
            <w:tcW w:w="1276" w:type="dxa"/>
          </w:tcPr>
          <w:p w:rsidR="0047711E" w:rsidRPr="000F7DD8" w:rsidRDefault="0047711E" w:rsidP="00D1620E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30 op</w:t>
            </w:r>
          </w:p>
        </w:tc>
        <w:tc>
          <w:tcPr>
            <w:tcW w:w="6344" w:type="dxa"/>
          </w:tcPr>
          <w:p w:rsidR="0047711E" w:rsidRPr="000F7DD8" w:rsidRDefault="0047711E" w:rsidP="00B75903">
            <w:pPr>
              <w:pStyle w:val="Luettelokappale"/>
              <w:autoSpaceDE w:val="0"/>
              <w:autoSpaceDN w:val="0"/>
              <w:ind w:left="0"/>
              <w:rPr>
                <w:rFonts w:cstheme="majorHAnsi"/>
                <w:iCs/>
              </w:rPr>
            </w:pPr>
            <w:bookmarkStart w:id="0" w:name="_GoBack"/>
            <w:bookmarkEnd w:id="0"/>
            <w:r w:rsidRPr="000F7DD8">
              <w:rPr>
                <w:rFonts w:cstheme="majorHAnsi"/>
                <w:iCs/>
              </w:rPr>
              <w:t>Opinnäytetyö on opiskelijan työ- ja oppimisprosessi, jota monialaisesti tuetaan, ohjataan ja arvioidaan.  Opinnäytetyö tehdään työelämän tarpeista lähtevänä kehittämis- tai tutkimustyönä.</w:t>
            </w:r>
          </w:p>
          <w:p w:rsidR="0047711E" w:rsidRPr="000F7DD8" w:rsidRDefault="0047711E" w:rsidP="0047711E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before="240" w:after="0" w:line="240" w:lineRule="auto"/>
              <w:ind w:left="0" w:hanging="357"/>
              <w:rPr>
                <w:rFonts w:cstheme="majorHAnsi"/>
                <w:iCs/>
              </w:rPr>
            </w:pPr>
            <w:r w:rsidRPr="000F7DD8">
              <w:rPr>
                <w:rFonts w:cstheme="majorHAnsi"/>
                <w:iCs/>
              </w:rPr>
              <w:t>Opinnäytetyön tekemisessä opiskelija vastaa</w:t>
            </w:r>
          </w:p>
          <w:p w:rsidR="0047711E" w:rsidRPr="000F7DD8" w:rsidRDefault="0047711E" w:rsidP="0047711E">
            <w:pPr>
              <w:pStyle w:val="Luettelokappale"/>
              <w:numPr>
                <w:ilvl w:val="0"/>
                <w:numId w:val="1"/>
              </w:numPr>
              <w:spacing w:before="240" w:after="240" w:line="240" w:lineRule="auto"/>
              <w:ind w:left="1077" w:hanging="357"/>
              <w:rPr>
                <w:rFonts w:cstheme="majorHAnsi"/>
              </w:rPr>
            </w:pPr>
            <w:r w:rsidRPr="000F7DD8">
              <w:rPr>
                <w:rFonts w:cstheme="majorHAnsi"/>
              </w:rPr>
              <w:t>opinnäytetyöidean, työelämäyhteyden hakemisesta ja sopimusten valmistelusta (opintojen alkuvaiheessa)</w:t>
            </w:r>
          </w:p>
          <w:p w:rsidR="0047711E" w:rsidRPr="000F7DD8" w:rsidRDefault="0047711E" w:rsidP="0047711E">
            <w:pPr>
              <w:pStyle w:val="Luettelokappale"/>
              <w:numPr>
                <w:ilvl w:val="0"/>
                <w:numId w:val="1"/>
              </w:numPr>
              <w:spacing w:before="240" w:after="240" w:line="240" w:lineRule="auto"/>
              <w:ind w:left="1077" w:hanging="357"/>
              <w:rPr>
                <w:rFonts w:cstheme="majorHAnsi"/>
              </w:rPr>
            </w:pPr>
            <w:r w:rsidRPr="000F7DD8">
              <w:rPr>
                <w:rFonts w:cstheme="majorHAnsi"/>
              </w:rPr>
              <w:t>opinnäytetyön tehtäväalueeseen perehtymisestä ja tehtävän asettamisesta</w:t>
            </w:r>
          </w:p>
          <w:p w:rsidR="0047711E" w:rsidRPr="000F7DD8" w:rsidRDefault="0047711E" w:rsidP="0047711E">
            <w:pPr>
              <w:pStyle w:val="Luettelokappale"/>
              <w:numPr>
                <w:ilvl w:val="0"/>
                <w:numId w:val="1"/>
              </w:numPr>
              <w:spacing w:before="240" w:after="240" w:line="240" w:lineRule="auto"/>
              <w:ind w:left="1077" w:hanging="357"/>
              <w:rPr>
                <w:rFonts w:cstheme="majorHAnsi"/>
              </w:rPr>
            </w:pPr>
            <w:r w:rsidRPr="000F7DD8">
              <w:rPr>
                <w:rFonts w:cstheme="majorHAnsi"/>
              </w:rPr>
              <w:t>osallistumisesta vertaisarvioijana toisten opinnäyteprosessiin</w:t>
            </w:r>
          </w:p>
          <w:p w:rsidR="0047711E" w:rsidRPr="000F7DD8" w:rsidRDefault="0047711E" w:rsidP="0047711E">
            <w:pPr>
              <w:pStyle w:val="Luettelokappale"/>
              <w:numPr>
                <w:ilvl w:val="0"/>
                <w:numId w:val="1"/>
              </w:numPr>
              <w:spacing w:before="240" w:after="240" w:line="240" w:lineRule="auto"/>
              <w:ind w:left="1077" w:hanging="357"/>
              <w:rPr>
                <w:rFonts w:cstheme="majorHAnsi"/>
              </w:rPr>
            </w:pPr>
            <w:r w:rsidRPr="000F7DD8">
              <w:rPr>
                <w:rFonts w:cstheme="majorHAnsi"/>
              </w:rPr>
              <w:t>asetetun tehtävän loppuun saattamisesta</w:t>
            </w:r>
          </w:p>
          <w:p w:rsidR="0047711E" w:rsidRPr="000F7DD8" w:rsidRDefault="0047711E" w:rsidP="0047711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1077" w:hanging="357"/>
              <w:rPr>
                <w:rFonts w:cstheme="majorHAnsi"/>
              </w:rPr>
            </w:pPr>
            <w:r w:rsidRPr="000F7DD8">
              <w:rPr>
                <w:rFonts w:cstheme="majorHAnsi"/>
              </w:rPr>
              <w:t>opinnäytetyön esittämisestä ja tiedotusmateriaalin laatimisesta.</w:t>
            </w:r>
          </w:p>
          <w:p w:rsidR="00CC2DB6" w:rsidRDefault="0047711E" w:rsidP="00D1620E">
            <w:pPr>
              <w:rPr>
                <w:rFonts w:cstheme="majorHAnsi"/>
                <w:iCs/>
              </w:rPr>
            </w:pPr>
            <w:r w:rsidRPr="000F7DD8">
              <w:rPr>
                <w:rFonts w:cstheme="majorHAnsi"/>
                <w:iCs/>
              </w:rPr>
              <w:t>Kehittämistehtävä tai soveltava tutki</w:t>
            </w:r>
            <w:r w:rsidR="00BE1858">
              <w:rPr>
                <w:rFonts w:cstheme="majorHAnsi"/>
                <w:iCs/>
              </w:rPr>
              <w:t>mus tuottaa</w:t>
            </w:r>
            <w:r w:rsidR="00264540">
              <w:rPr>
                <w:rFonts w:cstheme="majorHAnsi"/>
                <w:iCs/>
              </w:rPr>
              <w:t xml:space="preserve"> uutta osaamista työ</w:t>
            </w:r>
            <w:r w:rsidRPr="000F7DD8">
              <w:rPr>
                <w:rFonts w:cstheme="majorHAnsi"/>
                <w:iCs/>
              </w:rPr>
              <w:t>elämään</w:t>
            </w:r>
            <w:r w:rsidR="00CC2DB6">
              <w:rPr>
                <w:rFonts w:cstheme="majorHAnsi"/>
                <w:iCs/>
              </w:rPr>
              <w:t>. Se luo</w:t>
            </w:r>
            <w:r w:rsidRPr="000F7DD8">
              <w:rPr>
                <w:rFonts w:cstheme="majorHAnsi"/>
                <w:iCs/>
              </w:rPr>
              <w:t xml:space="preserve"> uusia </w:t>
            </w:r>
            <w:r w:rsidR="00CC2DB6">
              <w:rPr>
                <w:rFonts w:cstheme="majorHAnsi"/>
                <w:iCs/>
              </w:rPr>
              <w:t xml:space="preserve">mahdollisuuksia ja </w:t>
            </w:r>
            <w:r w:rsidRPr="000F7DD8">
              <w:rPr>
                <w:rFonts w:cstheme="majorHAnsi"/>
                <w:iCs/>
              </w:rPr>
              <w:t xml:space="preserve">kehittämislinjoja oman </w:t>
            </w:r>
            <w:r w:rsidR="00CC2DB6">
              <w:rPr>
                <w:rFonts w:cstheme="majorHAnsi"/>
                <w:iCs/>
              </w:rPr>
              <w:t>työympäristön</w:t>
            </w:r>
            <w:r w:rsidRPr="000F7DD8">
              <w:rPr>
                <w:rFonts w:cstheme="majorHAnsi"/>
                <w:iCs/>
              </w:rPr>
              <w:t xml:space="preserve"> tarpeiden</w:t>
            </w:r>
            <w:r w:rsidR="00CC2DB6">
              <w:rPr>
                <w:rFonts w:cstheme="majorHAnsi"/>
                <w:iCs/>
              </w:rPr>
              <w:t xml:space="preserve"> pohjalta.</w:t>
            </w:r>
          </w:p>
          <w:p w:rsidR="0047711E" w:rsidRPr="000F7DD8" w:rsidRDefault="00CC2DB6" w:rsidP="00D1620E">
            <w:pPr>
              <w:rPr>
                <w:rFonts w:cstheme="majorHAnsi"/>
              </w:rPr>
            </w:pPr>
            <w:r>
              <w:rPr>
                <w:rFonts w:cstheme="majorHAnsi"/>
                <w:iCs/>
              </w:rPr>
              <w:t>Kehittämistehtävä mahdollistaa o</w:t>
            </w:r>
            <w:r w:rsidR="0047711E" w:rsidRPr="000F7DD8">
              <w:rPr>
                <w:rFonts w:cstheme="majorHAnsi"/>
                <w:iCs/>
              </w:rPr>
              <w:t>man asiantuntijuuden</w:t>
            </w:r>
            <w:r>
              <w:rPr>
                <w:rFonts w:cstheme="majorHAnsi"/>
                <w:iCs/>
              </w:rPr>
              <w:t xml:space="preserve"> </w:t>
            </w:r>
            <w:r w:rsidR="00CF2A9B">
              <w:rPr>
                <w:rFonts w:cstheme="majorHAnsi"/>
                <w:iCs/>
              </w:rPr>
              <w:t>esilletuomisen, verkostoitumiseen</w:t>
            </w:r>
            <w:r w:rsidR="0047711E" w:rsidRPr="000F7DD8">
              <w:rPr>
                <w:rFonts w:cstheme="majorHAnsi"/>
                <w:iCs/>
              </w:rPr>
              <w:t xml:space="preserve"> ja</w:t>
            </w:r>
            <w:r>
              <w:rPr>
                <w:rFonts w:cstheme="majorHAnsi"/>
                <w:iCs/>
              </w:rPr>
              <w:t xml:space="preserve"> mahdollisuuden siirtyä </w:t>
            </w:r>
            <w:r>
              <w:rPr>
                <w:rFonts w:cstheme="majorHAnsi"/>
                <w:iCs/>
              </w:rPr>
              <w:lastRenderedPageBreak/>
              <w:t>työpaikan sisällä erilaisiin asiantuntijatehtäviin tai kokonaan uusiin tehtäviin.</w:t>
            </w:r>
          </w:p>
        </w:tc>
      </w:tr>
      <w:tr w:rsidR="0047711E" w:rsidRPr="000F7DD8" w:rsidTr="00D1620E">
        <w:tc>
          <w:tcPr>
            <w:tcW w:w="1809" w:type="dxa"/>
          </w:tcPr>
          <w:p w:rsidR="0047711E" w:rsidRPr="000F7DD8" w:rsidRDefault="0047711E" w:rsidP="00D1620E">
            <w:pPr>
              <w:rPr>
                <w:rFonts w:cstheme="majorHAnsi"/>
                <w:b/>
              </w:rPr>
            </w:pPr>
            <w:r w:rsidRPr="000F7DD8">
              <w:rPr>
                <w:rFonts w:cstheme="majorHAnsi"/>
                <w:b/>
              </w:rPr>
              <w:lastRenderedPageBreak/>
              <w:t>Yhteensä</w:t>
            </w:r>
          </w:p>
        </w:tc>
        <w:tc>
          <w:tcPr>
            <w:tcW w:w="1276" w:type="dxa"/>
          </w:tcPr>
          <w:p w:rsidR="0047711E" w:rsidRPr="000F7DD8" w:rsidRDefault="0047711E" w:rsidP="00D1620E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90 op</w:t>
            </w:r>
          </w:p>
        </w:tc>
        <w:tc>
          <w:tcPr>
            <w:tcW w:w="6344" w:type="dxa"/>
          </w:tcPr>
          <w:p w:rsidR="0047711E" w:rsidRPr="000F7DD8" w:rsidRDefault="0047711E" w:rsidP="00D1620E">
            <w:pPr>
              <w:rPr>
                <w:rFonts w:cstheme="majorHAnsi"/>
              </w:rPr>
            </w:pPr>
          </w:p>
        </w:tc>
      </w:tr>
    </w:tbl>
    <w:p w:rsidR="00111AA6" w:rsidRDefault="00111AA6"/>
    <w:sectPr w:rsidR="00111A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D57"/>
    <w:multiLevelType w:val="hybridMultilevel"/>
    <w:tmpl w:val="23E46D44"/>
    <w:lvl w:ilvl="0" w:tplc="00180CFA">
      <w:start w:val="1"/>
      <w:numFmt w:val="bullet"/>
      <w:lvlText w:val="»"/>
      <w:lvlJc w:val="left"/>
      <w:pPr>
        <w:ind w:left="1495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1E"/>
    <w:rsid w:val="00105E0B"/>
    <w:rsid w:val="00111AA6"/>
    <w:rsid w:val="00264540"/>
    <w:rsid w:val="0047711E"/>
    <w:rsid w:val="00603507"/>
    <w:rsid w:val="00847FC8"/>
    <w:rsid w:val="00B75903"/>
    <w:rsid w:val="00BE1858"/>
    <w:rsid w:val="00CC2DB6"/>
    <w:rsid w:val="00CF2A9B"/>
    <w:rsid w:val="00E45ABC"/>
    <w:rsid w:val="00EA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2E6F2-2587-4649-8A7D-950CFA14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711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711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7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47711E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47711E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477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2</cp:revision>
  <dcterms:created xsi:type="dcterms:W3CDTF">2016-01-15T08:44:00Z</dcterms:created>
  <dcterms:modified xsi:type="dcterms:W3CDTF">2016-01-15T08:44:00Z</dcterms:modified>
</cp:coreProperties>
</file>