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551"/>
      </w:tblGrid>
      <w:tr w:rsidR="00547E8C" w:rsidRPr="00046F32" w:rsidTr="00046F32">
        <w:tc>
          <w:tcPr>
            <w:tcW w:w="1980" w:type="dxa"/>
            <w:shd w:val="clear" w:color="auto" w:fill="31A3B5"/>
          </w:tcPr>
          <w:p w:rsidR="00547E8C" w:rsidRPr="00046F32" w:rsidRDefault="00547E8C" w:rsidP="00547E8C">
            <w:pPr>
              <w:spacing w:before="240" w:after="200" w:line="276" w:lineRule="auto"/>
              <w:rPr>
                <w:rFonts w:ascii="Tahoma" w:eastAsia="Times New Roman" w:hAnsi="Tahoma" w:cs="Tahoma"/>
                <w:b/>
                <w:color w:val="FFFFFF"/>
                <w:sz w:val="24"/>
                <w:szCs w:val="24"/>
                <w:lang w:eastAsia="fi-FI"/>
              </w:rPr>
            </w:pPr>
            <w:bookmarkStart w:id="0" w:name="_GoBack"/>
            <w:bookmarkEnd w:id="0"/>
          </w:p>
        </w:tc>
        <w:tc>
          <w:tcPr>
            <w:tcW w:w="1247" w:type="dxa"/>
            <w:shd w:val="clear" w:color="auto" w:fill="31A3B5"/>
          </w:tcPr>
          <w:p w:rsidR="00547E8C" w:rsidRPr="00046F32" w:rsidRDefault="00547E8C" w:rsidP="00046F32">
            <w:pPr>
              <w:spacing w:before="240" w:after="200" w:line="276" w:lineRule="auto"/>
              <w:rPr>
                <w:rFonts w:ascii="Tahoma" w:eastAsia="Times New Roman" w:hAnsi="Tahoma" w:cs="Tahoma"/>
                <w:b/>
                <w:color w:val="FFFFFF"/>
                <w:sz w:val="24"/>
                <w:szCs w:val="24"/>
                <w:lang w:eastAsia="fi-FI"/>
              </w:rPr>
            </w:pPr>
            <w:r w:rsidRPr="00046F32">
              <w:rPr>
                <w:rFonts w:ascii="Tahoma" w:eastAsia="Times New Roman" w:hAnsi="Tahoma" w:cs="Tahoma"/>
                <w:b/>
                <w:color w:val="FFFFFF"/>
                <w:sz w:val="24"/>
                <w:szCs w:val="24"/>
                <w:lang w:eastAsia="fi-FI"/>
              </w:rPr>
              <w:t>Laajuus</w:t>
            </w:r>
          </w:p>
        </w:tc>
        <w:tc>
          <w:tcPr>
            <w:tcW w:w="6551" w:type="dxa"/>
            <w:shd w:val="clear" w:color="auto" w:fill="31A3B5"/>
          </w:tcPr>
          <w:p w:rsidR="00547E8C" w:rsidRPr="00046F32" w:rsidRDefault="00547E8C" w:rsidP="00547E8C">
            <w:pPr>
              <w:spacing w:before="240" w:after="200" w:line="276" w:lineRule="auto"/>
              <w:rPr>
                <w:rFonts w:ascii="Tahoma" w:eastAsia="Times New Roman" w:hAnsi="Tahoma" w:cs="Tahoma"/>
                <w:b/>
                <w:color w:val="FFFFFF"/>
                <w:sz w:val="24"/>
                <w:szCs w:val="24"/>
                <w:lang w:eastAsia="fi-FI"/>
              </w:rPr>
            </w:pPr>
            <w:r w:rsidRPr="00046F32">
              <w:rPr>
                <w:rFonts w:ascii="Tahoma" w:eastAsia="Times New Roman" w:hAnsi="Tahoma" w:cs="Tahoma"/>
                <w:b/>
                <w:color w:val="FFFFFF"/>
                <w:sz w:val="24"/>
                <w:szCs w:val="24"/>
                <w:lang w:eastAsia="fi-FI"/>
              </w:rPr>
              <w:t>Luonnehdinta opinnoista lyhyesti</w:t>
            </w:r>
          </w:p>
        </w:tc>
      </w:tr>
      <w:tr w:rsidR="00547E8C" w:rsidRPr="00046F32" w:rsidTr="00046F32">
        <w:trPr>
          <w:trHeight w:val="904"/>
        </w:trPr>
        <w:tc>
          <w:tcPr>
            <w:tcW w:w="1980" w:type="dxa"/>
          </w:tcPr>
          <w:p w:rsidR="00547E8C" w:rsidRPr="00046F32" w:rsidRDefault="00046F32" w:rsidP="00046F32">
            <w:pPr>
              <w:spacing w:before="120" w:after="200" w:line="276" w:lineRule="auto"/>
              <w:rPr>
                <w:rFonts w:ascii="Tahoma" w:eastAsia="Times New Roman" w:hAnsi="Tahoma" w:cs="Tahoma"/>
                <w:b/>
                <w:szCs w:val="20"/>
                <w:lang w:eastAsia="fi-FI"/>
              </w:rPr>
            </w:pPr>
            <w:r>
              <w:rPr>
                <w:rFonts w:ascii="Tahoma" w:eastAsia="Times New Roman" w:hAnsi="Tahoma" w:cs="Tahoma"/>
                <w:b/>
                <w:szCs w:val="20"/>
                <w:lang w:eastAsia="fi-FI"/>
              </w:rPr>
              <w:t xml:space="preserve">Perusopinnot  </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20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Tanssinopettajan perusopinnot koostuvat perustiedosta tanssinopettajan opintoihin ja työhön sekä kieli- ja tutkimusopinnoista.</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 xml:space="preserve">Ammattiopinnot </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115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Tanssinopettajan ammattiopinnot koostuvat tanssitekniikkaa ja -tietoa vahvistavista opinnoista, koreografiasta sekä monialaisista projekti- ja produktiotyöskentelystä. Opiskelija voi syventää tanssiteknistä osaamistaan valitsemalla oman syventymiskohteensa</w:t>
            </w:r>
            <w:r w:rsidR="00046F32" w:rsidRPr="00046F32">
              <w:rPr>
                <w:rFonts w:ascii="Tahoma" w:eastAsia="Times New Roman" w:hAnsi="Tahoma" w:cs="Tahoma"/>
                <w:szCs w:val="20"/>
                <w:lang w:eastAsia="fi-FI"/>
              </w:rPr>
              <w:t xml:space="preserve"> joko klassisesta baletista tai</w:t>
            </w:r>
            <w:r w:rsidRPr="00046F32">
              <w:rPr>
                <w:rFonts w:ascii="Tahoma" w:eastAsia="Times New Roman" w:hAnsi="Tahoma" w:cs="Tahoma"/>
                <w:szCs w:val="20"/>
                <w:lang w:eastAsia="fi-FI"/>
              </w:rPr>
              <w:t xml:space="preserve"> </w:t>
            </w:r>
            <w:proofErr w:type="spellStart"/>
            <w:r w:rsidRPr="00046F32">
              <w:rPr>
                <w:rFonts w:ascii="Tahoma" w:eastAsia="Times New Roman" w:hAnsi="Tahoma" w:cs="Tahoma"/>
                <w:szCs w:val="20"/>
                <w:lang w:eastAsia="fi-FI"/>
              </w:rPr>
              <w:t>nyky</w:t>
            </w:r>
            <w:proofErr w:type="spellEnd"/>
            <w:r w:rsidRPr="00046F32">
              <w:rPr>
                <w:rFonts w:ascii="Tahoma" w:eastAsia="Times New Roman" w:hAnsi="Tahoma" w:cs="Tahoma"/>
                <w:szCs w:val="20"/>
                <w:lang w:eastAsia="fi-FI"/>
              </w:rPr>
              <w:t>- tai jazztanssista.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Pedagogiset opinnot ja pedagoginen harjoittelu</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60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lang w:eastAsia="fi-FI"/>
              </w:rPr>
              <w:t>Tanssinopettajan tutkintoon sisältyvät ammatillisen opettajakorkeakoulun kanssa yhdessä järjestettävät monipuoliset kasvatustieteelliset ja ainepedagogiset opinnot (60op) opetusharjoitteluineen. Koulutus antaa laaja-alaisen yleisen opettajan pätevyyden.</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Ammatillinen harjoittelu</w:t>
            </w: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autoSpaceDE w:val="0"/>
              <w:autoSpaceDN w:val="0"/>
              <w:spacing w:before="120" w:after="120" w:line="276" w:lineRule="auto"/>
              <w:rPr>
                <w:rFonts w:ascii="Tahoma" w:eastAsia="Times New Roman" w:hAnsi="Tahoma" w:cs="Tahoma"/>
                <w:iCs/>
                <w:color w:val="31A3B5"/>
                <w:lang w:eastAsia="fi-FI"/>
              </w:rPr>
            </w:pPr>
            <w:r w:rsidRPr="00046F32">
              <w:rPr>
                <w:rFonts w:ascii="Tahoma" w:eastAsia="Times New Roman" w:hAnsi="Tahoma" w:cs="Tahoma"/>
                <w:iCs/>
                <w:szCs w:val="20"/>
                <w:lang w:eastAsia="fi-FI"/>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547E8C" w:rsidRPr="00046F32" w:rsidTr="00046F32">
        <w:tc>
          <w:tcPr>
            <w:tcW w:w="1980" w:type="dxa"/>
          </w:tcPr>
          <w:p w:rsidR="00547E8C" w:rsidRPr="00046F32" w:rsidRDefault="00547E8C" w:rsidP="00046F32">
            <w:pPr>
              <w:spacing w:before="120" w:after="20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Opinnäytetyö</w:t>
            </w:r>
          </w:p>
          <w:p w:rsidR="00547E8C" w:rsidRPr="00046F32" w:rsidRDefault="00547E8C" w:rsidP="00547E8C">
            <w:pPr>
              <w:spacing w:before="240" w:after="200" w:line="276" w:lineRule="auto"/>
              <w:rPr>
                <w:rFonts w:ascii="Tahoma" w:eastAsia="Times New Roman" w:hAnsi="Tahoma" w:cs="Tahoma"/>
                <w:szCs w:val="20"/>
                <w:lang w:eastAsia="fi-FI"/>
              </w:rPr>
            </w:pP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spacing w:before="120" w:after="0" w:line="276" w:lineRule="auto"/>
              <w:rPr>
                <w:rFonts w:ascii="Tahoma" w:eastAsia="Times New Roman" w:hAnsi="Tahoma" w:cs="Tahoma"/>
                <w:lang w:eastAsia="fi-FI"/>
              </w:rPr>
            </w:pPr>
            <w:r w:rsidRPr="00046F32">
              <w:rPr>
                <w:rFonts w:ascii="Tahoma" w:eastAsia="Times New Roman" w:hAnsi="Tahoma" w:cs="Tahoma"/>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käytännön pedagogista tai taiteellista toimintaa painottavia tai kirjallisia tutkielmia. Opinnäytetyön tekemisessä opiskelija vastaa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opinnäytetyöidean ja työelämäyhteyden hakemisesta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opinnäytetyön tehtäväalueeseen perehtymisestä ja tehtävän asettamisesta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asetetun tehtävän suorittamisesta ja raportoinnista</w:t>
            </w:r>
          </w:p>
          <w:p w:rsidR="00547E8C" w:rsidRPr="00046F32" w:rsidRDefault="00046F32" w:rsidP="00046F32">
            <w:pPr>
              <w:spacing w:after="0" w:line="240" w:lineRule="auto"/>
              <w:contextualSpacing/>
              <w:rPr>
                <w:rFonts w:ascii="Tahoma" w:eastAsia="Calibri" w:hAnsi="Tahoma" w:cs="Tahoma"/>
                <w:lang w:eastAsia="fi-FI"/>
              </w:rPr>
            </w:pPr>
            <w:r w:rsidRPr="00046F32">
              <w:rPr>
                <w:rFonts w:ascii="Tahoma" w:eastAsia="Calibri" w:hAnsi="Tahoma" w:cs="Tahoma"/>
                <w:lang w:eastAsia="fi-FI"/>
              </w:rPr>
              <w:t xml:space="preserve">- </w:t>
            </w:r>
            <w:r w:rsidR="00547E8C" w:rsidRPr="00046F32">
              <w:rPr>
                <w:rFonts w:ascii="Tahoma" w:eastAsia="Calibri" w:hAnsi="Tahoma" w:cs="Tahoma"/>
                <w:lang w:eastAsia="fi-FI"/>
              </w:rPr>
              <w:t>opinnäytetyön viimeistelystä ja tiedotusmateriaalin laatimisesta.</w:t>
            </w:r>
          </w:p>
          <w:p w:rsidR="00547E8C" w:rsidRPr="00046F32" w:rsidRDefault="00547E8C" w:rsidP="00046F32">
            <w:pPr>
              <w:spacing w:after="120" w:line="276" w:lineRule="auto"/>
              <w:rPr>
                <w:rFonts w:ascii="Tahoma" w:eastAsia="Times New Roman" w:hAnsi="Tahoma" w:cs="Tahoma"/>
                <w:color w:val="4BACC6"/>
                <w:lang w:eastAsia="fi-FI"/>
              </w:rPr>
            </w:pPr>
            <w:r w:rsidRPr="00046F32">
              <w:rPr>
                <w:rFonts w:ascii="Tahoma" w:eastAsia="Times New Roman" w:hAnsi="Tahoma" w:cs="Tahoma"/>
                <w:lang w:eastAsia="fi-FI"/>
              </w:rPr>
              <w:t> Opinnäytetyö tarjoaa joustavan portin siirtyä työelämään ja hyvän mahdollisuuden verkottua omalla alalla.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Va</w:t>
            </w:r>
            <w:r w:rsidR="00046F32" w:rsidRPr="00046F32">
              <w:rPr>
                <w:rFonts w:ascii="Tahoma" w:eastAsia="Times New Roman" w:hAnsi="Tahoma" w:cs="Tahoma"/>
                <w:b/>
                <w:szCs w:val="20"/>
                <w:lang w:eastAsia="fi-FI"/>
              </w:rPr>
              <w:t xml:space="preserve">linnaiset </w:t>
            </w:r>
            <w:r w:rsidRPr="00046F32">
              <w:rPr>
                <w:rFonts w:ascii="Tahoma" w:eastAsia="Times New Roman" w:hAnsi="Tahoma" w:cs="Tahoma"/>
                <w:b/>
                <w:szCs w:val="20"/>
                <w:lang w:eastAsia="fi-FI"/>
              </w:rPr>
              <w:t>opinnot</w:t>
            </w:r>
          </w:p>
          <w:p w:rsidR="00547E8C" w:rsidRPr="00046F32" w:rsidRDefault="00547E8C" w:rsidP="00547E8C">
            <w:pPr>
              <w:spacing w:before="240" w:after="200" w:line="276" w:lineRule="auto"/>
              <w:rPr>
                <w:rFonts w:ascii="Tahoma" w:eastAsia="Times New Roman" w:hAnsi="Tahoma" w:cs="Tahoma"/>
                <w:szCs w:val="20"/>
                <w:lang w:eastAsia="fi-FI"/>
              </w:rPr>
            </w:pPr>
          </w:p>
        </w:tc>
        <w:tc>
          <w:tcPr>
            <w:tcW w:w="1247" w:type="dxa"/>
          </w:tcPr>
          <w:p w:rsidR="00547E8C" w:rsidRPr="00046F32" w:rsidRDefault="00547E8C" w:rsidP="00046F32">
            <w:pPr>
              <w:spacing w:before="120" w:after="200" w:line="276" w:lineRule="auto"/>
              <w:rPr>
                <w:rFonts w:ascii="Tahoma" w:eastAsia="Times New Roman" w:hAnsi="Tahoma" w:cs="Tahoma"/>
                <w:szCs w:val="20"/>
                <w:lang w:eastAsia="fi-FI"/>
              </w:rPr>
            </w:pPr>
            <w:r w:rsidRPr="00046F32">
              <w:rPr>
                <w:rFonts w:ascii="Tahoma" w:eastAsia="Times New Roman" w:hAnsi="Tahoma" w:cs="Tahoma"/>
                <w:szCs w:val="20"/>
                <w:lang w:eastAsia="fi-FI"/>
              </w:rPr>
              <w:t>15 op</w:t>
            </w:r>
          </w:p>
        </w:tc>
        <w:tc>
          <w:tcPr>
            <w:tcW w:w="6551" w:type="dxa"/>
          </w:tcPr>
          <w:p w:rsidR="00547E8C" w:rsidRPr="00046F32" w:rsidRDefault="00547E8C" w:rsidP="00046F32">
            <w:pPr>
              <w:spacing w:after="200" w:line="276" w:lineRule="auto"/>
              <w:rPr>
                <w:rFonts w:ascii="Tahoma" w:eastAsia="Times New Roman" w:hAnsi="Tahoma" w:cs="Tahoma"/>
                <w:color w:val="31A3B5"/>
                <w:szCs w:val="20"/>
                <w:lang w:eastAsia="fi-FI"/>
              </w:rPr>
            </w:pPr>
            <w:r w:rsidRPr="00046F32">
              <w:rPr>
                <w:rFonts w:ascii="Tahoma" w:eastAsia="Times New Roman" w:hAnsi="Tahoma" w:cs="Tahoma"/>
                <w:szCs w:val="20"/>
                <w:lang w:eastAsia="fi-FI"/>
              </w:rPr>
              <w:t>Va</w:t>
            </w:r>
            <w:r w:rsidR="00046F32" w:rsidRPr="00046F32">
              <w:rPr>
                <w:rFonts w:ascii="Tahoma" w:eastAsia="Times New Roman" w:hAnsi="Tahoma" w:cs="Tahoma"/>
                <w:szCs w:val="20"/>
                <w:lang w:eastAsia="fi-FI"/>
              </w:rPr>
              <w:t xml:space="preserve">linnaiset </w:t>
            </w:r>
            <w:r w:rsidRPr="00046F32">
              <w:rPr>
                <w:rFonts w:ascii="Tahoma" w:eastAsia="Times New Roman" w:hAnsi="Tahoma" w:cs="Tahoma"/>
                <w:szCs w:val="20"/>
                <w:lang w:eastAsia="fi-FI"/>
              </w:rPr>
              <w:t>opinnot tukevat asiantuntijuuden kehittymistä ja suuntautuvat opiskelijan kiinnostuksen mukaan. Savonian opintotarjonta on käytettävissä. Muualta valittavien opintojen on oltava ammattikorkeakoulutasoa.</w:t>
            </w:r>
          </w:p>
        </w:tc>
      </w:tr>
      <w:tr w:rsidR="00547E8C" w:rsidRPr="00046F32" w:rsidTr="00046F32">
        <w:tc>
          <w:tcPr>
            <w:tcW w:w="1980" w:type="dxa"/>
          </w:tcPr>
          <w:p w:rsidR="00547E8C" w:rsidRPr="00046F32" w:rsidRDefault="00547E8C" w:rsidP="00046F32">
            <w:pPr>
              <w:spacing w:before="120" w:after="120" w:line="276" w:lineRule="auto"/>
              <w:rPr>
                <w:rFonts w:ascii="Tahoma" w:eastAsia="Times New Roman" w:hAnsi="Tahoma" w:cs="Tahoma"/>
                <w:b/>
                <w:szCs w:val="20"/>
                <w:lang w:eastAsia="fi-FI"/>
              </w:rPr>
            </w:pPr>
            <w:r w:rsidRPr="00046F32">
              <w:rPr>
                <w:rFonts w:ascii="Tahoma" w:eastAsia="Times New Roman" w:hAnsi="Tahoma" w:cs="Tahoma"/>
                <w:b/>
                <w:szCs w:val="20"/>
                <w:lang w:eastAsia="fi-FI"/>
              </w:rPr>
              <w:t>Yhteensä</w:t>
            </w:r>
          </w:p>
        </w:tc>
        <w:tc>
          <w:tcPr>
            <w:tcW w:w="1247" w:type="dxa"/>
          </w:tcPr>
          <w:p w:rsidR="00547E8C" w:rsidRPr="00046F32" w:rsidRDefault="00547E8C" w:rsidP="00046F32">
            <w:pPr>
              <w:spacing w:before="120" w:after="120" w:line="276" w:lineRule="auto"/>
              <w:rPr>
                <w:rFonts w:ascii="Tahoma" w:eastAsia="Times New Roman" w:hAnsi="Tahoma" w:cs="Tahoma"/>
                <w:szCs w:val="20"/>
                <w:lang w:eastAsia="fi-FI"/>
              </w:rPr>
            </w:pPr>
            <w:r w:rsidRPr="00046F32">
              <w:rPr>
                <w:rFonts w:ascii="Tahoma" w:eastAsia="Times New Roman" w:hAnsi="Tahoma" w:cs="Tahoma"/>
                <w:szCs w:val="20"/>
                <w:lang w:eastAsia="fi-FI"/>
              </w:rPr>
              <w:t>240 op</w:t>
            </w:r>
          </w:p>
        </w:tc>
        <w:tc>
          <w:tcPr>
            <w:tcW w:w="6551" w:type="dxa"/>
          </w:tcPr>
          <w:p w:rsidR="00547E8C" w:rsidRPr="00046F32" w:rsidRDefault="00547E8C" w:rsidP="00046F32">
            <w:pPr>
              <w:spacing w:before="120" w:after="120" w:line="276" w:lineRule="auto"/>
              <w:rPr>
                <w:rFonts w:ascii="Tahoma" w:eastAsia="Times New Roman" w:hAnsi="Tahoma" w:cs="Tahoma"/>
                <w:szCs w:val="20"/>
                <w:lang w:eastAsia="fi-FI"/>
              </w:rPr>
            </w:pPr>
          </w:p>
        </w:tc>
      </w:tr>
    </w:tbl>
    <w:p w:rsidR="007D66F9" w:rsidRPr="00046F32" w:rsidRDefault="007D66F9">
      <w:pPr>
        <w:rPr>
          <w:rFonts w:ascii="Tahoma" w:hAnsi="Tahoma" w:cs="Tahoma"/>
        </w:rPr>
      </w:pPr>
    </w:p>
    <w:sectPr w:rsidR="007D66F9" w:rsidRPr="00046F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8C"/>
    <w:rsid w:val="00046F32"/>
    <w:rsid w:val="0028458A"/>
    <w:rsid w:val="00547E8C"/>
    <w:rsid w:val="0070791C"/>
    <w:rsid w:val="007D66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528DC-3068-4ECA-BA08-63D10E84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2101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2016-01-15T07:56:00Z</dcterms:created>
  <dcterms:modified xsi:type="dcterms:W3CDTF">2016-01-15T07:56:00Z</dcterms:modified>
</cp:coreProperties>
</file>