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DC6CD0" w:rsidTr="005467FA">
        <w:tc>
          <w:tcPr>
            <w:tcW w:w="1204" w:type="dxa"/>
            <w:shd w:val="clear" w:color="auto" w:fill="4BACC6" w:themeFill="accent5"/>
          </w:tcPr>
          <w:p w:rsidR="00DC6CD0" w:rsidRPr="00CC37BE" w:rsidRDefault="00DC6CD0" w:rsidP="005467FA">
            <w:pPr>
              <w:spacing w:before="240"/>
              <w:rPr>
                <w:rFonts w:cstheme="minorHAnsi"/>
                <w:b/>
                <w:color w:val="FFFFFF" w:themeColor="background1"/>
                <w:sz w:val="28"/>
              </w:rPr>
            </w:pPr>
            <w:bookmarkStart w:id="0" w:name="_GoBack"/>
            <w:bookmarkEnd w:id="0"/>
          </w:p>
        </w:tc>
        <w:tc>
          <w:tcPr>
            <w:tcW w:w="4253" w:type="dxa"/>
            <w:shd w:val="clear" w:color="auto" w:fill="4BACC6" w:themeFill="accent5"/>
          </w:tcPr>
          <w:p w:rsidR="00DC6CD0" w:rsidRPr="00CC37BE" w:rsidRDefault="00DC6CD0" w:rsidP="00DC6CD0">
            <w:pPr>
              <w:spacing w:before="240" w:line="240" w:lineRule="auto"/>
              <w:rPr>
                <w:rFonts w:cstheme="minorHAnsi"/>
                <w:b/>
                <w:color w:val="FFFFFF" w:themeColor="background1"/>
                <w:sz w:val="28"/>
              </w:rPr>
            </w:pPr>
            <w:r w:rsidRPr="00CC37BE">
              <w:rPr>
                <w:rFonts w:cstheme="minorHAnsi"/>
                <w:b/>
                <w:color w:val="FFFFFF" w:themeColor="background1"/>
                <w:sz w:val="28"/>
              </w:rPr>
              <w:t xml:space="preserve"> Vuositeema ja alateemat</w:t>
            </w:r>
          </w:p>
        </w:tc>
        <w:tc>
          <w:tcPr>
            <w:tcW w:w="4961" w:type="dxa"/>
            <w:shd w:val="clear" w:color="auto" w:fill="4BACC6" w:themeFill="accent5"/>
          </w:tcPr>
          <w:p w:rsidR="00DC6CD0" w:rsidRPr="00CC37BE" w:rsidRDefault="00DC6CD0" w:rsidP="00DC6CD0">
            <w:pPr>
              <w:spacing w:before="240" w:line="240" w:lineRule="auto"/>
              <w:rPr>
                <w:rFonts w:cstheme="minorHAnsi"/>
                <w:b/>
                <w:color w:val="FFFFFF" w:themeColor="background1"/>
                <w:sz w:val="28"/>
              </w:rPr>
            </w:pPr>
            <w:r w:rsidRPr="00CC37BE">
              <w:rPr>
                <w:rFonts w:cstheme="minorHAnsi"/>
                <w:b/>
                <w:color w:val="FFFFFF" w:themeColor="background1"/>
                <w:sz w:val="28"/>
              </w:rPr>
              <w:t>Osaamistavoitteet</w:t>
            </w:r>
          </w:p>
        </w:tc>
      </w:tr>
      <w:tr w:rsidR="00DC6CD0" w:rsidTr="005467FA">
        <w:tc>
          <w:tcPr>
            <w:tcW w:w="1204" w:type="dxa"/>
          </w:tcPr>
          <w:p w:rsidR="00DC6CD0" w:rsidRPr="00CC37BE" w:rsidRDefault="00DC6CD0" w:rsidP="005467FA">
            <w:pPr>
              <w:spacing w:before="240"/>
              <w:rPr>
                <w:rFonts w:cstheme="minorHAnsi"/>
                <w:b/>
              </w:rPr>
            </w:pPr>
            <w:r w:rsidRPr="00CC37BE">
              <w:rPr>
                <w:rFonts w:cstheme="minorHAnsi"/>
                <w:b/>
              </w:rPr>
              <w:t>1. vuosi</w:t>
            </w:r>
          </w:p>
        </w:tc>
        <w:tc>
          <w:tcPr>
            <w:tcW w:w="4253" w:type="dxa"/>
          </w:tcPr>
          <w:p w:rsidR="00DC6CD0" w:rsidRDefault="00DC6CD0" w:rsidP="00DC6CD0">
            <w:pPr>
              <w:spacing w:before="240" w:line="240" w:lineRule="auto"/>
              <w:rPr>
                <w:rFonts w:cstheme="minorHAnsi"/>
                <w:b/>
                <w:i/>
              </w:rPr>
            </w:pPr>
            <w:r>
              <w:rPr>
                <w:rFonts w:cstheme="minorHAnsi"/>
                <w:b/>
                <w:i/>
              </w:rPr>
              <w:t>Ammattikuvan luominen</w:t>
            </w:r>
          </w:p>
          <w:p w:rsidR="00DC6CD0" w:rsidRDefault="00DC6CD0" w:rsidP="00DC6CD0">
            <w:pPr>
              <w:spacing w:before="240" w:line="240" w:lineRule="auto"/>
              <w:rPr>
                <w:rFonts w:cstheme="minorHAnsi"/>
                <w:i/>
              </w:rPr>
            </w:pPr>
            <w:r>
              <w:rPr>
                <w:rFonts w:cstheme="minorHAnsi"/>
                <w:i/>
              </w:rPr>
              <w:t>S</w:t>
            </w:r>
            <w:r w:rsidRPr="00520836">
              <w:rPr>
                <w:rFonts w:cstheme="minorHAnsi"/>
                <w:i/>
              </w:rPr>
              <w:t xml:space="preserve">uun terveydenhoitotyön </w:t>
            </w:r>
            <w:r>
              <w:rPr>
                <w:rFonts w:cstheme="minorHAnsi"/>
                <w:i/>
              </w:rPr>
              <w:t>tietoperusta (30 op)</w:t>
            </w:r>
          </w:p>
          <w:p w:rsidR="00DC6CD0" w:rsidRPr="00520836" w:rsidRDefault="00DC6CD0" w:rsidP="00DC6CD0">
            <w:pPr>
              <w:spacing w:before="240" w:line="240" w:lineRule="auto"/>
              <w:rPr>
                <w:rFonts w:cstheme="minorHAnsi"/>
                <w:i/>
              </w:rPr>
            </w:pPr>
            <w:r>
              <w:rPr>
                <w:rFonts w:cstheme="minorHAnsi"/>
                <w:i/>
              </w:rPr>
              <w:t>Suun terveyden edistämisen tietoperusta (30 op)</w:t>
            </w:r>
          </w:p>
        </w:tc>
        <w:tc>
          <w:tcPr>
            <w:tcW w:w="4961" w:type="dxa"/>
          </w:tcPr>
          <w:p w:rsidR="00DC6CD0" w:rsidRPr="0048225C" w:rsidRDefault="00DC6CD0" w:rsidP="00DC6CD0">
            <w:pPr>
              <w:spacing w:before="240" w:line="240" w:lineRule="auto"/>
              <w:rPr>
                <w:rFonts w:cstheme="minorHAnsi"/>
                <w:sz w:val="20"/>
                <w:szCs w:val="20"/>
              </w:rPr>
            </w:pPr>
            <w:r w:rsidRPr="0048225C">
              <w:rPr>
                <w:rFonts w:cstheme="minorHAnsi"/>
                <w:sz w:val="20"/>
                <w:szCs w:val="20"/>
              </w:rPr>
              <w:t xml:space="preserve">Opiskelija osaa tarkastella ihmistä ja suun terveydenhoitotyötä osana </w:t>
            </w:r>
            <w:r w:rsidR="001F6C21" w:rsidRPr="0048225C">
              <w:rPr>
                <w:rFonts w:cstheme="minorHAnsi"/>
                <w:sz w:val="20"/>
                <w:szCs w:val="20"/>
              </w:rPr>
              <w:t>sosiaali-</w:t>
            </w:r>
            <w:r w:rsidR="001F6C21">
              <w:rPr>
                <w:rFonts w:cstheme="minorHAnsi"/>
                <w:sz w:val="20"/>
                <w:szCs w:val="20"/>
              </w:rPr>
              <w:t xml:space="preserve"> </w:t>
            </w:r>
            <w:r w:rsidRPr="0048225C">
              <w:rPr>
                <w:rFonts w:cstheme="minorHAnsi"/>
                <w:sz w:val="20"/>
                <w:szCs w:val="20"/>
              </w:rPr>
              <w:t xml:space="preserve">ja terveysalan ympäristöä. Opiskelija tietää perustiedot ihmisestä, suun terveydenhoitotyötä ohjaavat eettiset ohjeet, lainsäädännön, suun terveydenhoidon toiminnot, suun terveyteen sekä suun terveyden edistämiseen vaikuttavat tekijät. </w:t>
            </w:r>
          </w:p>
        </w:tc>
      </w:tr>
      <w:tr w:rsidR="00DC6CD0" w:rsidTr="005467FA">
        <w:tc>
          <w:tcPr>
            <w:tcW w:w="1204" w:type="dxa"/>
          </w:tcPr>
          <w:p w:rsidR="00DC6CD0" w:rsidRPr="00CC37BE" w:rsidRDefault="00DC6CD0" w:rsidP="005467FA">
            <w:pPr>
              <w:spacing w:before="240"/>
              <w:rPr>
                <w:rFonts w:cstheme="minorHAnsi"/>
                <w:b/>
              </w:rPr>
            </w:pPr>
            <w:r w:rsidRPr="00CC37BE">
              <w:rPr>
                <w:rFonts w:cstheme="minorHAnsi"/>
                <w:b/>
              </w:rPr>
              <w:t>2. vuosi</w:t>
            </w:r>
          </w:p>
        </w:tc>
        <w:tc>
          <w:tcPr>
            <w:tcW w:w="4253" w:type="dxa"/>
          </w:tcPr>
          <w:p w:rsidR="00DC6CD0" w:rsidRDefault="00DC6CD0" w:rsidP="00DC6CD0">
            <w:pPr>
              <w:spacing w:before="240" w:line="240" w:lineRule="auto"/>
              <w:rPr>
                <w:rFonts w:cstheme="minorHAnsi"/>
                <w:b/>
                <w:i/>
              </w:rPr>
            </w:pPr>
            <w:r>
              <w:rPr>
                <w:rFonts w:cstheme="minorHAnsi"/>
                <w:b/>
                <w:i/>
              </w:rPr>
              <w:t>Oman osaamisen kehittäminen</w:t>
            </w:r>
          </w:p>
          <w:p w:rsidR="00DC6CD0" w:rsidRDefault="00DC6CD0" w:rsidP="00DC6CD0">
            <w:pPr>
              <w:spacing w:before="240" w:line="240" w:lineRule="auto"/>
              <w:rPr>
                <w:rFonts w:cstheme="minorHAnsi"/>
                <w:i/>
              </w:rPr>
            </w:pPr>
            <w:r>
              <w:rPr>
                <w:rFonts w:cstheme="minorHAnsi"/>
                <w:i/>
              </w:rPr>
              <w:t>Kliininen osaaminen (30 op)</w:t>
            </w:r>
          </w:p>
          <w:p w:rsidR="00DC6CD0" w:rsidRPr="004278D2" w:rsidRDefault="00DC6CD0" w:rsidP="00DC6CD0">
            <w:pPr>
              <w:spacing w:before="240" w:line="240" w:lineRule="auto"/>
              <w:rPr>
                <w:rFonts w:cstheme="minorHAnsi"/>
                <w:i/>
              </w:rPr>
            </w:pPr>
            <w:r>
              <w:rPr>
                <w:rFonts w:cstheme="minorHAnsi"/>
                <w:i/>
              </w:rPr>
              <w:t>Asiakaslähtöinen suun terveydenhoitotyö (30 op)</w:t>
            </w:r>
          </w:p>
        </w:tc>
        <w:tc>
          <w:tcPr>
            <w:tcW w:w="4961" w:type="dxa"/>
          </w:tcPr>
          <w:p w:rsidR="00DC6CD0" w:rsidRPr="0048225C" w:rsidRDefault="00DC6CD0" w:rsidP="00DC6CD0">
            <w:pPr>
              <w:spacing w:before="240" w:line="240" w:lineRule="auto"/>
              <w:rPr>
                <w:rFonts w:cstheme="minorHAnsi"/>
                <w:sz w:val="20"/>
                <w:szCs w:val="20"/>
              </w:rPr>
            </w:pPr>
            <w:r w:rsidRPr="0048225C">
              <w:rPr>
                <w:rFonts w:cstheme="minorHAnsi"/>
                <w:sz w:val="20"/>
                <w:szCs w:val="20"/>
              </w:rPr>
              <w:t>Opiskelija osaa käyttää näyttöön perustuvaa tietoa terveyden edistämisestä ja kariologisesta ja parodontologisesta suun terveydenhoitotyöstä harjoittelussaan. Opiskelija osaa huomioida asiakkaan elämäntilanteen suun terveydenhoitotyön toiminnassaan</w:t>
            </w:r>
            <w:r w:rsidRPr="0048225C">
              <w:rPr>
                <w:sz w:val="20"/>
                <w:szCs w:val="20"/>
              </w:rPr>
              <w:t xml:space="preserve"> ja </w:t>
            </w:r>
            <w:r w:rsidRPr="0048225C">
              <w:rPr>
                <w:rFonts w:cstheme="minorHAnsi"/>
                <w:sz w:val="20"/>
                <w:szCs w:val="20"/>
              </w:rPr>
              <w:t>käyttää ennakoivia ja osallistavia suun terveyden edistämisen menetelmiä harjoittelussaan.</w:t>
            </w:r>
          </w:p>
        </w:tc>
      </w:tr>
      <w:tr w:rsidR="00DC6CD0" w:rsidTr="005467FA">
        <w:tc>
          <w:tcPr>
            <w:tcW w:w="1204" w:type="dxa"/>
          </w:tcPr>
          <w:p w:rsidR="00DC6CD0" w:rsidRPr="00CC37BE" w:rsidRDefault="00DC6CD0" w:rsidP="005467FA">
            <w:pPr>
              <w:spacing w:before="240"/>
              <w:rPr>
                <w:rFonts w:cstheme="minorHAnsi"/>
                <w:b/>
              </w:rPr>
            </w:pPr>
            <w:r w:rsidRPr="00CC37BE">
              <w:rPr>
                <w:rFonts w:cstheme="minorHAnsi"/>
                <w:b/>
              </w:rPr>
              <w:t xml:space="preserve">3. vuosi </w:t>
            </w:r>
          </w:p>
        </w:tc>
        <w:tc>
          <w:tcPr>
            <w:tcW w:w="4253" w:type="dxa"/>
          </w:tcPr>
          <w:p w:rsidR="00DC6CD0" w:rsidRDefault="00DC6CD0" w:rsidP="00DC6CD0">
            <w:pPr>
              <w:spacing w:before="240" w:line="240" w:lineRule="auto"/>
              <w:rPr>
                <w:rFonts w:cstheme="minorHAnsi"/>
                <w:b/>
                <w:i/>
              </w:rPr>
            </w:pPr>
            <w:r>
              <w:rPr>
                <w:rFonts w:cstheme="minorHAnsi"/>
                <w:b/>
                <w:i/>
              </w:rPr>
              <w:t>Oman</w:t>
            </w:r>
            <w:r w:rsidRPr="00BE06AC">
              <w:rPr>
                <w:rFonts w:cstheme="minorHAnsi"/>
                <w:b/>
                <w:i/>
              </w:rPr>
              <w:t xml:space="preserve"> </w:t>
            </w:r>
            <w:r>
              <w:rPr>
                <w:rFonts w:cstheme="minorHAnsi"/>
                <w:b/>
                <w:i/>
              </w:rPr>
              <w:t>osaamisen syventäminen</w:t>
            </w:r>
          </w:p>
          <w:p w:rsidR="00DC6CD0" w:rsidRDefault="00DC6CD0" w:rsidP="00DC6CD0">
            <w:pPr>
              <w:spacing w:before="240" w:line="240" w:lineRule="auto"/>
              <w:rPr>
                <w:rFonts w:cstheme="minorHAnsi"/>
                <w:i/>
              </w:rPr>
            </w:pPr>
            <w:r>
              <w:rPr>
                <w:rFonts w:cstheme="minorHAnsi"/>
                <w:i/>
              </w:rPr>
              <w:t>P</w:t>
            </w:r>
            <w:r w:rsidRPr="004278D2">
              <w:rPr>
                <w:rFonts w:cstheme="minorHAnsi"/>
                <w:i/>
              </w:rPr>
              <w:t>erheen suun terveyden</w:t>
            </w:r>
            <w:r>
              <w:rPr>
                <w:rFonts w:cstheme="minorHAnsi"/>
                <w:i/>
              </w:rPr>
              <w:t>hoitotyö (30 op)</w:t>
            </w:r>
          </w:p>
          <w:p w:rsidR="00DC6CD0" w:rsidRPr="004278D2" w:rsidRDefault="00DC6CD0" w:rsidP="00DC6CD0">
            <w:pPr>
              <w:spacing w:before="240" w:line="240" w:lineRule="auto"/>
              <w:rPr>
                <w:rFonts w:cstheme="minorHAnsi"/>
                <w:i/>
              </w:rPr>
            </w:pPr>
            <w:r w:rsidRPr="002E2FBE">
              <w:rPr>
                <w:rFonts w:cstheme="minorHAnsi"/>
                <w:i/>
              </w:rPr>
              <w:t>Suun terveydenhoito</w:t>
            </w:r>
            <w:r>
              <w:rPr>
                <w:rFonts w:cstheme="minorHAnsi"/>
                <w:i/>
              </w:rPr>
              <w:t>työ</w:t>
            </w:r>
            <w:r w:rsidRPr="002E2FBE">
              <w:rPr>
                <w:rFonts w:cstheme="minorHAnsi"/>
                <w:i/>
              </w:rPr>
              <w:t xml:space="preserve"> </w:t>
            </w:r>
            <w:r>
              <w:rPr>
                <w:rFonts w:cstheme="minorHAnsi"/>
                <w:i/>
              </w:rPr>
              <w:t xml:space="preserve">erilaisissa </w:t>
            </w:r>
            <w:r w:rsidRPr="002E2FBE">
              <w:rPr>
                <w:rFonts w:cstheme="minorHAnsi"/>
                <w:i/>
              </w:rPr>
              <w:t xml:space="preserve">yhteisöissä </w:t>
            </w:r>
            <w:r>
              <w:rPr>
                <w:rFonts w:cstheme="minorHAnsi"/>
                <w:i/>
              </w:rPr>
              <w:t>(30 op)</w:t>
            </w:r>
          </w:p>
        </w:tc>
        <w:tc>
          <w:tcPr>
            <w:tcW w:w="4961" w:type="dxa"/>
          </w:tcPr>
          <w:p w:rsidR="00DC6CD0" w:rsidRPr="0048225C" w:rsidRDefault="00DC6CD0" w:rsidP="00DC6CD0">
            <w:pPr>
              <w:spacing w:before="240" w:line="240" w:lineRule="auto"/>
              <w:rPr>
                <w:rFonts w:cstheme="minorHAnsi"/>
                <w:sz w:val="20"/>
                <w:szCs w:val="20"/>
              </w:rPr>
            </w:pPr>
            <w:r w:rsidRPr="0048225C">
              <w:rPr>
                <w:rFonts w:cstheme="minorHAnsi"/>
                <w:sz w:val="20"/>
                <w:szCs w:val="20"/>
              </w:rPr>
              <w:t>Opiskelija osaa soveltaa ja analysoida tietoaan perheen suun terveyteen vaikuttavista tekijöistä ja tarpeista. Opiskelija osaa toimia oikomishoidon työryhmässä ja neuvolan ja kouluterveydenhuollossa suun terveydenhoidon asiantuntijana.. Opiskelija osaa toimia suun terveydenhoidon asiantuntijana eri yhteisöissä ja kehittää yhteisön suun terveyttä edistävää toimintaa. Opiskelija osaa soveltaa tutkimus- ja kehittämistoimintaosaamistaan suunnitellessaan opinnäytetyötä.</w:t>
            </w:r>
          </w:p>
        </w:tc>
      </w:tr>
      <w:tr w:rsidR="00DC6CD0" w:rsidTr="005467FA">
        <w:tc>
          <w:tcPr>
            <w:tcW w:w="1204" w:type="dxa"/>
          </w:tcPr>
          <w:p w:rsidR="00DC6CD0" w:rsidRPr="00CC37BE" w:rsidRDefault="00DC6CD0" w:rsidP="005467FA">
            <w:pPr>
              <w:spacing w:before="240"/>
              <w:rPr>
                <w:rFonts w:cstheme="minorHAnsi"/>
                <w:b/>
              </w:rPr>
            </w:pPr>
            <w:r w:rsidRPr="00CC37BE">
              <w:rPr>
                <w:rFonts w:cstheme="minorHAnsi"/>
                <w:b/>
              </w:rPr>
              <w:t>4. vuosi</w:t>
            </w:r>
          </w:p>
        </w:tc>
        <w:tc>
          <w:tcPr>
            <w:tcW w:w="4253" w:type="dxa"/>
          </w:tcPr>
          <w:p w:rsidR="00DC6CD0" w:rsidRDefault="00DC6CD0" w:rsidP="00DC6CD0">
            <w:pPr>
              <w:spacing w:before="240" w:line="240" w:lineRule="auto"/>
              <w:rPr>
                <w:rFonts w:cstheme="minorHAnsi"/>
                <w:b/>
                <w:i/>
              </w:rPr>
            </w:pPr>
            <w:r>
              <w:rPr>
                <w:rFonts w:cstheme="minorHAnsi"/>
                <w:b/>
                <w:i/>
              </w:rPr>
              <w:t>Osaamisen soveltaminen</w:t>
            </w:r>
          </w:p>
          <w:p w:rsidR="00DC6CD0" w:rsidRPr="002E2FBE" w:rsidRDefault="00DC6CD0" w:rsidP="00DC6CD0">
            <w:pPr>
              <w:spacing w:before="240" w:line="240" w:lineRule="auto"/>
              <w:rPr>
                <w:rFonts w:cstheme="minorHAnsi"/>
                <w:i/>
              </w:rPr>
            </w:pPr>
            <w:r w:rsidRPr="004103AA">
              <w:rPr>
                <w:rFonts w:cstheme="minorHAnsi"/>
                <w:i/>
              </w:rPr>
              <w:t xml:space="preserve">Suun terveydenhoitotyön toiminnan arviointi ja soveltaminen </w:t>
            </w:r>
            <w:r w:rsidRPr="002E2FBE">
              <w:rPr>
                <w:rFonts w:cstheme="minorHAnsi"/>
                <w:i/>
              </w:rPr>
              <w:t>(30 op)</w:t>
            </w:r>
          </w:p>
        </w:tc>
        <w:tc>
          <w:tcPr>
            <w:tcW w:w="4961" w:type="dxa"/>
          </w:tcPr>
          <w:p w:rsidR="00DC6CD0" w:rsidRPr="0048225C" w:rsidRDefault="00DC6CD0" w:rsidP="00DC6CD0">
            <w:pPr>
              <w:spacing w:before="240" w:line="240" w:lineRule="auto"/>
              <w:rPr>
                <w:rFonts w:cstheme="minorHAnsi"/>
                <w:sz w:val="20"/>
                <w:szCs w:val="20"/>
              </w:rPr>
            </w:pPr>
            <w:r w:rsidRPr="0048225C">
              <w:rPr>
                <w:rFonts w:cstheme="minorHAnsi"/>
                <w:sz w:val="20"/>
                <w:szCs w:val="20"/>
              </w:rPr>
              <w:t>Opiskelija osaa arvioida suun terveydenhoidon tarpeita erilaisissa toimintaympäristöissä, kehittää palveluja moniammatillisessa yhteistyössä ja kykenee itsenäiseen työskentelyyn suun terveydenhoidon asiantuntijana. Opiskelija osaa toteuttaa tutkimus- ja kehittämishankkeen opinnäytetyönään.</w:t>
            </w:r>
          </w:p>
        </w:tc>
      </w:tr>
    </w:tbl>
    <w:p w:rsidR="00631EFB" w:rsidRDefault="00631EFB"/>
    <w:sectPr w:rsidR="00631EF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D0"/>
    <w:rsid w:val="001F6C21"/>
    <w:rsid w:val="0048225C"/>
    <w:rsid w:val="00631EFB"/>
    <w:rsid w:val="006A736F"/>
    <w:rsid w:val="00DC6C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1C012-3394-40C6-9B27-B2F90847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6CD0"/>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1727</Characters>
  <Application>Microsoft Office Word</Application>
  <DocSecurity>4</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Kaarina Sirviö</dc:creator>
  <cp:lastModifiedBy>Marja Kopeli</cp:lastModifiedBy>
  <cp:revision>2</cp:revision>
  <dcterms:created xsi:type="dcterms:W3CDTF">2015-12-22T07:01:00Z</dcterms:created>
  <dcterms:modified xsi:type="dcterms:W3CDTF">2015-12-22T07:01:00Z</dcterms:modified>
</cp:coreProperties>
</file>