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787"/>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5"/>
        <w:gridCol w:w="7071"/>
      </w:tblGrid>
      <w:tr w:rsidR="004670D2" w:rsidRPr="00DA5AA1" w:rsidTr="00A33C6C">
        <w:trPr>
          <w:trHeight w:val="776"/>
        </w:trPr>
        <w:tc>
          <w:tcPr>
            <w:tcW w:w="2705" w:type="dxa"/>
            <w:shd w:val="clear" w:color="auto" w:fill="4BACC6" w:themeFill="accent5"/>
          </w:tcPr>
          <w:p w:rsidR="004670D2" w:rsidRPr="00DA5AA1" w:rsidRDefault="004670D2" w:rsidP="004670D2">
            <w:pPr>
              <w:spacing w:before="240" w:after="240"/>
              <w:rPr>
                <w:rFonts w:eastAsia="Calibri" w:cstheme="minorHAnsi"/>
                <w:b/>
                <w:color w:val="FFFFFF"/>
                <w:sz w:val="24"/>
                <w:szCs w:val="24"/>
              </w:rPr>
            </w:pPr>
            <w:r w:rsidRPr="00654452">
              <w:rPr>
                <w:rFonts w:eastAsia="Calibri" w:cstheme="minorHAnsi"/>
                <w:b/>
                <w:color w:val="FFFFFF"/>
                <w:sz w:val="28"/>
                <w:szCs w:val="24"/>
              </w:rPr>
              <w:t>Osaamisen osa-alue</w:t>
            </w:r>
          </w:p>
        </w:tc>
        <w:tc>
          <w:tcPr>
            <w:tcW w:w="7071" w:type="dxa"/>
            <w:shd w:val="clear" w:color="auto" w:fill="4BACC6" w:themeFill="accent5"/>
          </w:tcPr>
          <w:p w:rsidR="004670D2" w:rsidRPr="00654452" w:rsidRDefault="004670D2" w:rsidP="004670D2">
            <w:pPr>
              <w:spacing w:before="240" w:after="240"/>
              <w:rPr>
                <w:rFonts w:eastAsia="Calibri" w:cstheme="minorHAnsi"/>
                <w:b/>
                <w:color w:val="FFFFFF"/>
                <w:sz w:val="28"/>
                <w:szCs w:val="28"/>
              </w:rPr>
            </w:pPr>
            <w:r w:rsidRPr="00654452">
              <w:rPr>
                <w:rFonts w:eastAsia="Calibri" w:cstheme="minorHAnsi"/>
                <w:b/>
                <w:color w:val="FFFFFF"/>
                <w:sz w:val="28"/>
                <w:szCs w:val="28"/>
              </w:rPr>
              <w:t>Osaaminen tasolla 6</w:t>
            </w:r>
          </w:p>
        </w:tc>
      </w:tr>
      <w:tr w:rsidR="004670D2" w:rsidRPr="00DA5AA1" w:rsidTr="00A33C6C">
        <w:trPr>
          <w:trHeight w:val="942"/>
        </w:trPr>
        <w:tc>
          <w:tcPr>
            <w:tcW w:w="2705" w:type="dxa"/>
          </w:tcPr>
          <w:p w:rsidR="004670D2" w:rsidRPr="00654452" w:rsidRDefault="004670D2" w:rsidP="00A33C6C">
            <w:pPr>
              <w:spacing w:after="0"/>
              <w:rPr>
                <w:rFonts w:eastAsia="Calibri" w:cstheme="minorHAnsi"/>
                <w:b/>
                <w:szCs w:val="24"/>
              </w:rPr>
            </w:pPr>
            <w:r w:rsidRPr="00654452">
              <w:rPr>
                <w:rFonts w:eastAsia="Calibri" w:cstheme="minorHAnsi"/>
                <w:b/>
                <w:szCs w:val="24"/>
              </w:rPr>
              <w:t>Tieto</w:t>
            </w:r>
          </w:p>
        </w:tc>
        <w:tc>
          <w:tcPr>
            <w:tcW w:w="7071" w:type="dxa"/>
          </w:tcPr>
          <w:p w:rsidR="004670D2" w:rsidRPr="00654452" w:rsidRDefault="004670D2" w:rsidP="00A33C6C">
            <w:pPr>
              <w:spacing w:after="0"/>
              <w:rPr>
                <w:rFonts w:eastAsia="Calibri" w:cstheme="minorHAnsi"/>
                <w:b/>
                <w:szCs w:val="24"/>
              </w:rPr>
            </w:pPr>
            <w:r>
              <w:rPr>
                <w:rFonts w:eastAsia="Calibri" w:cstheme="minorHAnsi"/>
                <w:szCs w:val="24"/>
              </w:rPr>
              <w:t>Suuhygienistillä on laaja-alainen suun terveydenhoitotyön</w:t>
            </w:r>
            <w:r w:rsidRPr="00654452">
              <w:rPr>
                <w:rFonts w:eastAsia="Calibri" w:cstheme="minorHAnsi"/>
                <w:szCs w:val="24"/>
              </w:rPr>
              <w:t xml:space="preserve"> </w:t>
            </w:r>
            <w:r>
              <w:rPr>
                <w:rFonts w:eastAsia="Calibri" w:cstheme="minorHAnsi"/>
                <w:szCs w:val="24"/>
              </w:rPr>
              <w:t>osaaminen.</w:t>
            </w:r>
            <w:r w:rsidRPr="00654452">
              <w:rPr>
                <w:rFonts w:eastAsia="Calibri" w:cstheme="minorHAnsi"/>
                <w:szCs w:val="24"/>
              </w:rPr>
              <w:t xml:space="preserve"> </w:t>
            </w:r>
            <w:r>
              <w:rPr>
                <w:rFonts w:eastAsia="Calibri" w:cstheme="minorHAnsi"/>
                <w:szCs w:val="24"/>
              </w:rPr>
              <w:t>Hän osaa arvioida ja soveltaa</w:t>
            </w:r>
            <w:r w:rsidRPr="00654452">
              <w:rPr>
                <w:rFonts w:eastAsia="Calibri" w:cstheme="minorHAnsi"/>
                <w:szCs w:val="24"/>
              </w:rPr>
              <w:t xml:space="preserve"> teorioi</w:t>
            </w:r>
            <w:r>
              <w:rPr>
                <w:rFonts w:eastAsia="Calibri" w:cstheme="minorHAnsi"/>
                <w:szCs w:val="24"/>
              </w:rPr>
              <w:t>ta</w:t>
            </w:r>
            <w:r w:rsidRPr="00654452">
              <w:rPr>
                <w:rFonts w:eastAsia="Calibri" w:cstheme="minorHAnsi"/>
                <w:szCs w:val="24"/>
              </w:rPr>
              <w:t>, kesk</w:t>
            </w:r>
            <w:r>
              <w:rPr>
                <w:rFonts w:eastAsia="Calibri" w:cstheme="minorHAnsi"/>
                <w:szCs w:val="24"/>
              </w:rPr>
              <w:t xml:space="preserve">eisiä käsitteitä, menetelmiä </w:t>
            </w:r>
            <w:r w:rsidRPr="00654452">
              <w:rPr>
                <w:rFonts w:eastAsia="Calibri" w:cstheme="minorHAnsi"/>
                <w:szCs w:val="24"/>
              </w:rPr>
              <w:t>ja periaattei</w:t>
            </w:r>
            <w:r>
              <w:rPr>
                <w:rFonts w:eastAsia="Calibri" w:cstheme="minorHAnsi"/>
                <w:szCs w:val="24"/>
              </w:rPr>
              <w:t>ta</w:t>
            </w:r>
            <w:r w:rsidRPr="00654452">
              <w:rPr>
                <w:rFonts w:eastAsia="Calibri" w:cstheme="minorHAnsi"/>
                <w:szCs w:val="24"/>
              </w:rPr>
              <w:t xml:space="preserve">. Hän ymmärtää </w:t>
            </w:r>
            <w:r>
              <w:rPr>
                <w:rFonts w:eastAsia="Calibri" w:cstheme="minorHAnsi"/>
                <w:szCs w:val="24"/>
              </w:rPr>
              <w:t>terveysalan</w:t>
            </w:r>
            <w:r w:rsidRPr="00654452">
              <w:rPr>
                <w:rFonts w:eastAsia="Calibri" w:cstheme="minorHAnsi"/>
                <w:szCs w:val="24"/>
              </w:rPr>
              <w:t xml:space="preserve"> tehtäväalueen kattavuuden ja rajat.</w:t>
            </w:r>
          </w:p>
        </w:tc>
      </w:tr>
      <w:tr w:rsidR="004670D2" w:rsidRPr="00DA5AA1" w:rsidTr="00A33C6C">
        <w:trPr>
          <w:trHeight w:val="1281"/>
        </w:trPr>
        <w:tc>
          <w:tcPr>
            <w:tcW w:w="2705" w:type="dxa"/>
          </w:tcPr>
          <w:p w:rsidR="004670D2" w:rsidRPr="00654452" w:rsidRDefault="004670D2" w:rsidP="00A33C6C">
            <w:pPr>
              <w:spacing w:after="0"/>
              <w:rPr>
                <w:rFonts w:eastAsia="Calibri" w:cstheme="minorHAnsi"/>
                <w:b/>
                <w:szCs w:val="24"/>
              </w:rPr>
            </w:pPr>
            <w:r w:rsidRPr="00654452">
              <w:rPr>
                <w:rFonts w:eastAsia="Calibri" w:cstheme="minorHAnsi"/>
                <w:b/>
                <w:szCs w:val="24"/>
              </w:rPr>
              <w:t xml:space="preserve">Työskentelytapa ja </w:t>
            </w:r>
            <w:r w:rsidRPr="00654452">
              <w:rPr>
                <w:rFonts w:cstheme="minorHAnsi"/>
                <w:b/>
                <w:szCs w:val="24"/>
              </w:rPr>
              <w:br/>
            </w:r>
            <w:r w:rsidRPr="00654452">
              <w:rPr>
                <w:rFonts w:eastAsia="Calibri" w:cstheme="minorHAnsi"/>
                <w:b/>
                <w:szCs w:val="24"/>
              </w:rPr>
              <w:t>soveltaminen (taito)</w:t>
            </w:r>
          </w:p>
        </w:tc>
        <w:tc>
          <w:tcPr>
            <w:tcW w:w="7071" w:type="dxa"/>
          </w:tcPr>
          <w:p w:rsidR="004670D2" w:rsidRPr="00654452" w:rsidRDefault="004670D2" w:rsidP="00A33C6C">
            <w:pPr>
              <w:spacing w:after="0"/>
              <w:rPr>
                <w:rFonts w:eastAsia="Calibri" w:cstheme="minorHAnsi"/>
                <w:b/>
                <w:szCs w:val="24"/>
              </w:rPr>
            </w:pPr>
            <w:r w:rsidRPr="00654452">
              <w:rPr>
                <w:rFonts w:eastAsia="Calibri" w:cstheme="minorHAnsi"/>
                <w:szCs w:val="24"/>
              </w:rPr>
              <w:t>S</w:t>
            </w:r>
            <w:r>
              <w:rPr>
                <w:rFonts w:eastAsia="Calibri" w:cstheme="minorHAnsi"/>
                <w:szCs w:val="24"/>
              </w:rPr>
              <w:t>uuhygienisti</w:t>
            </w:r>
            <w:r w:rsidRPr="00654452">
              <w:rPr>
                <w:rFonts w:eastAsia="Calibri" w:cstheme="minorHAnsi"/>
                <w:szCs w:val="24"/>
              </w:rPr>
              <w:t xml:space="preserve"> </w:t>
            </w:r>
            <w:r>
              <w:rPr>
                <w:rFonts w:eastAsia="Calibri" w:cstheme="minorHAnsi"/>
                <w:szCs w:val="24"/>
              </w:rPr>
              <w:t>osaa</w:t>
            </w:r>
            <w:r w:rsidRPr="00654452">
              <w:rPr>
                <w:rFonts w:eastAsia="Calibri" w:cstheme="minorHAnsi"/>
                <w:szCs w:val="24"/>
              </w:rPr>
              <w:t xml:space="preserve"> </w:t>
            </w:r>
            <w:r>
              <w:rPr>
                <w:rFonts w:eastAsia="Calibri" w:cstheme="minorHAnsi"/>
                <w:szCs w:val="24"/>
              </w:rPr>
              <w:t xml:space="preserve">toimia suun terveydenhoitotehtävissä perustaen toimintansa parhaaseen mahdolliseen näyttöön. Hän osaa </w:t>
            </w:r>
            <w:r w:rsidRPr="00654452">
              <w:rPr>
                <w:rFonts w:eastAsia="Calibri" w:cstheme="minorHAnsi"/>
                <w:szCs w:val="24"/>
              </w:rPr>
              <w:t xml:space="preserve">soveltaa ja </w:t>
            </w:r>
            <w:r>
              <w:rPr>
                <w:rFonts w:eastAsia="Calibri" w:cstheme="minorHAnsi"/>
                <w:szCs w:val="24"/>
              </w:rPr>
              <w:t>luoda ratkaisuja</w:t>
            </w:r>
            <w:r w:rsidRPr="00654452">
              <w:rPr>
                <w:rFonts w:eastAsia="Calibri" w:cstheme="minorHAnsi"/>
                <w:szCs w:val="24"/>
              </w:rPr>
              <w:t xml:space="preserve"> </w:t>
            </w:r>
            <w:r>
              <w:rPr>
                <w:rFonts w:eastAsia="Calibri" w:cstheme="minorHAnsi"/>
                <w:szCs w:val="24"/>
              </w:rPr>
              <w:t>suun terveydenhoitotyön</w:t>
            </w:r>
            <w:r w:rsidRPr="00654452">
              <w:rPr>
                <w:rFonts w:eastAsia="Calibri" w:cstheme="minorHAnsi"/>
                <w:szCs w:val="24"/>
              </w:rPr>
              <w:t xml:space="preserve"> monimutkais</w:t>
            </w:r>
            <w:r>
              <w:rPr>
                <w:rFonts w:eastAsia="Calibri" w:cstheme="minorHAnsi"/>
                <w:szCs w:val="24"/>
              </w:rPr>
              <w:t>iin</w:t>
            </w:r>
            <w:r w:rsidRPr="00654452">
              <w:rPr>
                <w:rFonts w:eastAsia="Calibri" w:cstheme="minorHAnsi"/>
                <w:szCs w:val="24"/>
              </w:rPr>
              <w:t xml:space="preserve"> tai ennakoimat</w:t>
            </w:r>
            <w:r>
              <w:rPr>
                <w:rFonts w:eastAsia="Calibri" w:cstheme="minorHAnsi"/>
                <w:szCs w:val="24"/>
              </w:rPr>
              <w:t xml:space="preserve">tomiin </w:t>
            </w:r>
            <w:r w:rsidRPr="00654452">
              <w:rPr>
                <w:rFonts w:eastAsia="Calibri" w:cstheme="minorHAnsi"/>
                <w:szCs w:val="24"/>
              </w:rPr>
              <w:t>ongelmi</w:t>
            </w:r>
            <w:r>
              <w:rPr>
                <w:rFonts w:eastAsia="Calibri" w:cstheme="minorHAnsi"/>
                <w:szCs w:val="24"/>
              </w:rPr>
              <w:t>in.</w:t>
            </w:r>
          </w:p>
        </w:tc>
      </w:tr>
      <w:tr w:rsidR="004670D2" w:rsidRPr="00DA5AA1" w:rsidTr="00A33C6C">
        <w:trPr>
          <w:trHeight w:val="1207"/>
        </w:trPr>
        <w:tc>
          <w:tcPr>
            <w:tcW w:w="2705" w:type="dxa"/>
          </w:tcPr>
          <w:p w:rsidR="004670D2" w:rsidRPr="00654452" w:rsidRDefault="004670D2" w:rsidP="00A33C6C">
            <w:pPr>
              <w:spacing w:after="0"/>
              <w:rPr>
                <w:rFonts w:eastAsia="Calibri" w:cstheme="minorHAnsi"/>
                <w:b/>
                <w:szCs w:val="24"/>
              </w:rPr>
            </w:pPr>
            <w:r w:rsidRPr="00654452">
              <w:rPr>
                <w:rFonts w:eastAsia="Calibri" w:cstheme="minorHAnsi"/>
                <w:b/>
                <w:szCs w:val="24"/>
              </w:rPr>
              <w:t xml:space="preserve">Vastuu, johtaminen, </w:t>
            </w:r>
            <w:r w:rsidRPr="00654452">
              <w:rPr>
                <w:rFonts w:cstheme="minorHAnsi"/>
                <w:b/>
                <w:szCs w:val="24"/>
              </w:rPr>
              <w:br/>
            </w:r>
            <w:r w:rsidRPr="00654452">
              <w:rPr>
                <w:rFonts w:eastAsia="Calibri" w:cstheme="minorHAnsi"/>
                <w:b/>
                <w:szCs w:val="24"/>
              </w:rPr>
              <w:t>yrittäjyys</w:t>
            </w:r>
          </w:p>
        </w:tc>
        <w:tc>
          <w:tcPr>
            <w:tcW w:w="7071" w:type="dxa"/>
          </w:tcPr>
          <w:p w:rsidR="004670D2" w:rsidRPr="00654452" w:rsidRDefault="004670D2" w:rsidP="00A33C6C">
            <w:pPr>
              <w:spacing w:after="0"/>
              <w:rPr>
                <w:rFonts w:eastAsia="Calibri" w:cstheme="minorHAnsi"/>
                <w:b/>
                <w:szCs w:val="24"/>
              </w:rPr>
            </w:pPr>
            <w:r w:rsidRPr="00654452">
              <w:rPr>
                <w:rFonts w:eastAsia="Calibri" w:cstheme="minorHAnsi"/>
                <w:szCs w:val="24"/>
              </w:rPr>
              <w:t>S</w:t>
            </w:r>
            <w:r>
              <w:rPr>
                <w:rFonts w:eastAsia="Calibri" w:cstheme="minorHAnsi"/>
                <w:szCs w:val="24"/>
              </w:rPr>
              <w:t>uuhygienisti</w:t>
            </w:r>
            <w:r w:rsidRPr="00654452">
              <w:rPr>
                <w:rFonts w:eastAsia="Calibri" w:cstheme="minorHAnsi"/>
                <w:szCs w:val="24"/>
              </w:rPr>
              <w:t xml:space="preserve"> kykenee johtamaan monimutkaisia ammatillisia toimia tai hankkeita ja työskentelemään </w:t>
            </w:r>
            <w:r>
              <w:rPr>
                <w:rFonts w:eastAsia="Calibri" w:cstheme="minorHAnsi"/>
                <w:szCs w:val="24"/>
              </w:rPr>
              <w:t xml:space="preserve">suun terveydenhoidon </w:t>
            </w:r>
            <w:r w:rsidRPr="00654452">
              <w:rPr>
                <w:rFonts w:eastAsia="Calibri" w:cstheme="minorHAnsi"/>
                <w:szCs w:val="24"/>
              </w:rPr>
              <w:t>asiantuntijatehtävissä. Hän kykenee päätöksentekoon ennakoimattomissa toimintaympäristöissä. S</w:t>
            </w:r>
            <w:r>
              <w:rPr>
                <w:rFonts w:eastAsia="Calibri" w:cstheme="minorHAnsi"/>
                <w:szCs w:val="24"/>
              </w:rPr>
              <w:t xml:space="preserve">uuhygienistillä </w:t>
            </w:r>
            <w:r w:rsidRPr="00654452">
              <w:rPr>
                <w:rFonts w:eastAsia="Calibri" w:cstheme="minorHAnsi"/>
                <w:szCs w:val="24"/>
              </w:rPr>
              <w:t>on perusvalmiudet toimia alan yrittäjänä.</w:t>
            </w:r>
          </w:p>
        </w:tc>
      </w:tr>
      <w:tr w:rsidR="004670D2" w:rsidRPr="00DA5AA1" w:rsidTr="00A33C6C">
        <w:trPr>
          <w:trHeight w:val="1572"/>
        </w:trPr>
        <w:tc>
          <w:tcPr>
            <w:tcW w:w="2705" w:type="dxa"/>
          </w:tcPr>
          <w:p w:rsidR="004670D2" w:rsidRPr="00654452" w:rsidRDefault="004670D2" w:rsidP="00A33C6C">
            <w:pPr>
              <w:spacing w:after="0"/>
              <w:rPr>
                <w:rFonts w:eastAsia="Calibri" w:cstheme="minorHAnsi"/>
                <w:b/>
                <w:szCs w:val="24"/>
              </w:rPr>
            </w:pPr>
            <w:r w:rsidRPr="00654452">
              <w:rPr>
                <w:rFonts w:eastAsia="Calibri" w:cstheme="minorHAnsi"/>
                <w:b/>
                <w:szCs w:val="24"/>
              </w:rPr>
              <w:t xml:space="preserve">Elinikäisen oppimisen </w:t>
            </w:r>
            <w:r w:rsidRPr="00654452">
              <w:rPr>
                <w:rFonts w:cstheme="minorHAnsi"/>
                <w:b/>
                <w:szCs w:val="24"/>
              </w:rPr>
              <w:br/>
            </w:r>
            <w:r w:rsidRPr="00654452">
              <w:rPr>
                <w:rFonts w:eastAsia="Calibri" w:cstheme="minorHAnsi"/>
                <w:b/>
                <w:szCs w:val="24"/>
              </w:rPr>
              <w:t>avaintaidot</w:t>
            </w:r>
          </w:p>
        </w:tc>
        <w:tc>
          <w:tcPr>
            <w:tcW w:w="7071" w:type="dxa"/>
          </w:tcPr>
          <w:p w:rsidR="004670D2" w:rsidRPr="00654452" w:rsidRDefault="004670D2" w:rsidP="00A33C6C">
            <w:pPr>
              <w:spacing w:after="0"/>
              <w:rPr>
                <w:rFonts w:eastAsia="Calibri" w:cstheme="minorHAnsi"/>
                <w:szCs w:val="24"/>
              </w:rPr>
            </w:pPr>
            <w:r w:rsidRPr="00654452">
              <w:rPr>
                <w:rFonts w:eastAsia="Calibri" w:cstheme="minorHAnsi"/>
                <w:szCs w:val="24"/>
              </w:rPr>
              <w:t>S</w:t>
            </w:r>
            <w:r>
              <w:rPr>
                <w:rFonts w:eastAsia="Calibri" w:cstheme="minorHAnsi"/>
                <w:szCs w:val="24"/>
              </w:rPr>
              <w:t>uuhygienistillä</w:t>
            </w:r>
            <w:r w:rsidRPr="00654452">
              <w:rPr>
                <w:rFonts w:eastAsia="Calibri" w:cstheme="minorHAnsi"/>
                <w:szCs w:val="24"/>
              </w:rPr>
              <w:t xml:space="preserve"> on valmius jatkuvaan oppimiseen.  S</w:t>
            </w:r>
            <w:r>
              <w:rPr>
                <w:rFonts w:eastAsia="Calibri" w:cstheme="minorHAnsi"/>
                <w:szCs w:val="24"/>
              </w:rPr>
              <w:t xml:space="preserve">uuhygienisti </w:t>
            </w:r>
            <w:r w:rsidRPr="00654452">
              <w:rPr>
                <w:rFonts w:eastAsia="Calibri" w:cstheme="minorHAnsi"/>
                <w:szCs w:val="24"/>
              </w:rPr>
              <w:t>kykenee vastaamaan oman osaamisensa arvioinni</w:t>
            </w:r>
            <w:r>
              <w:rPr>
                <w:rFonts w:eastAsia="Calibri" w:cstheme="minorHAnsi"/>
                <w:szCs w:val="24"/>
              </w:rPr>
              <w:t xml:space="preserve">sta </w:t>
            </w:r>
            <w:r w:rsidRPr="00654452">
              <w:rPr>
                <w:rFonts w:eastAsia="Calibri" w:cstheme="minorHAnsi"/>
                <w:szCs w:val="24"/>
              </w:rPr>
              <w:t>ja kehittämise</w:t>
            </w:r>
            <w:r>
              <w:rPr>
                <w:rFonts w:eastAsia="Calibri" w:cstheme="minorHAnsi"/>
                <w:szCs w:val="24"/>
              </w:rPr>
              <w:t xml:space="preserve">stä. </w:t>
            </w:r>
            <w:r w:rsidRPr="00654452">
              <w:rPr>
                <w:rFonts w:eastAsia="Calibri" w:cstheme="minorHAnsi"/>
                <w:szCs w:val="24"/>
              </w:rPr>
              <w:t>Hän osaa viestiä suullises</w:t>
            </w:r>
            <w:r>
              <w:rPr>
                <w:rFonts w:eastAsia="Calibri" w:cstheme="minorHAnsi"/>
                <w:szCs w:val="24"/>
              </w:rPr>
              <w:t>ti ja kirjallisesti sekä terveys</w:t>
            </w:r>
            <w:r w:rsidRPr="00654452">
              <w:rPr>
                <w:rFonts w:eastAsia="Calibri" w:cstheme="minorHAnsi"/>
                <w:szCs w:val="24"/>
              </w:rPr>
              <w:t xml:space="preserve">alan että alan ulkopuoliselle yleisölle. Hän kykenee itsenäiseen kansainväliseen viestintään ja vuorovaikutukseen ruotsin ja englannin kielellä. </w:t>
            </w:r>
          </w:p>
        </w:tc>
      </w:tr>
    </w:tbl>
    <w:p w:rsidR="00631EFB" w:rsidRDefault="004670D2">
      <w:r>
        <w:t>1</w:t>
      </w:r>
    </w:p>
    <w:p w:rsidR="004670D2" w:rsidRDefault="004670D2"/>
    <w:p w:rsidR="004670D2" w:rsidRDefault="004670D2">
      <w:r>
        <w:t>2</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87"/>
      </w:tblGrid>
      <w:tr w:rsidR="004670D2" w:rsidRPr="00B005E4" w:rsidTr="00A33C6C">
        <w:tc>
          <w:tcPr>
            <w:tcW w:w="2694" w:type="dxa"/>
            <w:tcBorders>
              <w:top w:val="single" w:sz="4" w:space="0" w:color="auto"/>
              <w:left w:val="single" w:sz="4" w:space="0" w:color="auto"/>
              <w:bottom w:val="single" w:sz="4" w:space="0" w:color="auto"/>
              <w:right w:val="single" w:sz="4" w:space="0" w:color="auto"/>
            </w:tcBorders>
            <w:shd w:val="clear" w:color="auto" w:fill="4BACC6" w:themeFill="accent5"/>
          </w:tcPr>
          <w:p w:rsidR="004670D2" w:rsidRPr="00654452" w:rsidRDefault="004670D2" w:rsidP="00BA4198">
            <w:pPr>
              <w:spacing w:before="240"/>
              <w:rPr>
                <w:rFonts w:cstheme="minorHAnsi"/>
                <w:b/>
                <w:color w:val="FFFFFF" w:themeColor="background1"/>
                <w:sz w:val="28"/>
              </w:rPr>
            </w:pPr>
            <w:r w:rsidRPr="00654452">
              <w:rPr>
                <w:rFonts w:cstheme="minorHAnsi"/>
                <w:b/>
                <w:color w:val="FFFFFF" w:themeColor="background1"/>
                <w:sz w:val="28"/>
              </w:rPr>
              <w:t>Yleiset kompetenssit</w:t>
            </w:r>
            <w:r w:rsidRPr="00654452">
              <w:rPr>
                <w:rFonts w:cstheme="minorHAnsi"/>
                <w:b/>
                <w:color w:val="FFFFFF" w:themeColor="background1"/>
                <w:sz w:val="28"/>
              </w:rPr>
              <w:br/>
            </w:r>
            <w:r w:rsidRPr="00654452">
              <w:rPr>
                <w:rFonts w:cstheme="minorHAnsi"/>
                <w:b/>
                <w:color w:val="FFFFFF" w:themeColor="background1"/>
                <w:sz w:val="24"/>
              </w:rPr>
              <w:t>(</w:t>
            </w:r>
            <w:proofErr w:type="spellStart"/>
            <w:r w:rsidRPr="00654452">
              <w:rPr>
                <w:rFonts w:cstheme="minorHAnsi"/>
                <w:b/>
                <w:color w:val="FFFFFF" w:themeColor="background1"/>
                <w:sz w:val="24"/>
              </w:rPr>
              <w:t>G</w:t>
            </w:r>
            <w:r w:rsidRPr="00654452">
              <w:rPr>
                <w:rFonts w:cstheme="minorHAnsi"/>
                <w:b/>
                <w:i/>
                <w:color w:val="FFFFFF" w:themeColor="background1"/>
                <w:sz w:val="24"/>
              </w:rPr>
              <w:t>eneric</w:t>
            </w:r>
            <w:proofErr w:type="spellEnd"/>
            <w:r w:rsidRPr="00654452">
              <w:rPr>
                <w:rFonts w:cstheme="minorHAnsi"/>
                <w:b/>
                <w:i/>
                <w:color w:val="FFFFFF" w:themeColor="background1"/>
                <w:sz w:val="24"/>
              </w:rPr>
              <w:t xml:space="preserve"> </w:t>
            </w:r>
            <w:proofErr w:type="spellStart"/>
            <w:r w:rsidRPr="00654452">
              <w:rPr>
                <w:rFonts w:cstheme="minorHAnsi"/>
                <w:b/>
                <w:i/>
                <w:color w:val="FFFFFF" w:themeColor="background1"/>
                <w:sz w:val="24"/>
              </w:rPr>
              <w:t>competences</w:t>
            </w:r>
            <w:proofErr w:type="spellEnd"/>
            <w:r w:rsidRPr="00654452">
              <w:rPr>
                <w:rFonts w:cstheme="minorHAnsi"/>
                <w:b/>
                <w:color w:val="FFFFFF" w:themeColor="background1"/>
                <w:sz w:val="24"/>
              </w:rPr>
              <w:t>)</w:t>
            </w:r>
          </w:p>
        </w:tc>
        <w:tc>
          <w:tcPr>
            <w:tcW w:w="7087" w:type="dxa"/>
            <w:tcBorders>
              <w:top w:val="single" w:sz="4" w:space="0" w:color="auto"/>
              <w:left w:val="single" w:sz="4" w:space="0" w:color="auto"/>
              <w:bottom w:val="single" w:sz="4" w:space="0" w:color="auto"/>
              <w:right w:val="single" w:sz="4" w:space="0" w:color="auto"/>
            </w:tcBorders>
            <w:shd w:val="clear" w:color="auto" w:fill="4BACC6" w:themeFill="accent5"/>
          </w:tcPr>
          <w:p w:rsidR="004670D2" w:rsidRPr="00654452" w:rsidRDefault="004670D2" w:rsidP="00BA4198">
            <w:pPr>
              <w:spacing w:before="240"/>
              <w:rPr>
                <w:rFonts w:cstheme="minorHAnsi"/>
                <w:b/>
                <w:color w:val="FFFFFF" w:themeColor="background1"/>
                <w:sz w:val="28"/>
                <w:lang w:val="en-US"/>
              </w:rPr>
            </w:pPr>
            <w:proofErr w:type="spellStart"/>
            <w:r w:rsidRPr="00654452">
              <w:rPr>
                <w:rFonts w:cstheme="minorHAnsi"/>
                <w:b/>
                <w:color w:val="FFFFFF" w:themeColor="background1"/>
                <w:sz w:val="28"/>
                <w:lang w:val="en-US"/>
              </w:rPr>
              <w:t>Osaamisen</w:t>
            </w:r>
            <w:proofErr w:type="spellEnd"/>
            <w:r w:rsidRPr="00654452">
              <w:rPr>
                <w:rFonts w:cstheme="minorHAnsi"/>
                <w:b/>
                <w:color w:val="FFFFFF" w:themeColor="background1"/>
                <w:sz w:val="28"/>
                <w:lang w:val="en-US"/>
              </w:rPr>
              <w:t xml:space="preserve"> </w:t>
            </w:r>
            <w:proofErr w:type="spellStart"/>
            <w:r w:rsidRPr="00654452">
              <w:rPr>
                <w:rFonts w:cstheme="minorHAnsi"/>
                <w:b/>
                <w:color w:val="FFFFFF" w:themeColor="background1"/>
                <w:sz w:val="28"/>
                <w:lang w:val="en-US"/>
              </w:rPr>
              <w:t>kuvaus</w:t>
            </w:r>
            <w:proofErr w:type="spellEnd"/>
            <w:r w:rsidRPr="00654452">
              <w:rPr>
                <w:rFonts w:cstheme="minorHAnsi"/>
                <w:b/>
                <w:color w:val="FFFFFF" w:themeColor="background1"/>
                <w:sz w:val="28"/>
                <w:lang w:val="en-US"/>
              </w:rPr>
              <w:t xml:space="preserve"> </w:t>
            </w:r>
            <w:r w:rsidRPr="00654452">
              <w:rPr>
                <w:rFonts w:cstheme="minorHAnsi"/>
                <w:b/>
                <w:color w:val="FFFFFF" w:themeColor="background1"/>
                <w:sz w:val="28"/>
                <w:lang w:val="en-US"/>
              </w:rPr>
              <w:br/>
            </w:r>
            <w:r w:rsidRPr="00654452">
              <w:rPr>
                <w:rFonts w:cstheme="minorHAnsi"/>
                <w:b/>
                <w:color w:val="FFFFFF" w:themeColor="background1"/>
                <w:sz w:val="24"/>
                <w:lang w:val="en-US"/>
              </w:rPr>
              <w:t>(</w:t>
            </w:r>
            <w:r w:rsidRPr="00654452">
              <w:rPr>
                <w:rFonts w:cstheme="minorHAnsi"/>
                <w:b/>
                <w:i/>
                <w:color w:val="FFFFFF" w:themeColor="background1"/>
                <w:sz w:val="24"/>
                <w:lang w:val="en-US"/>
              </w:rPr>
              <w:t>Description of the competence</w:t>
            </w:r>
            <w:r w:rsidRPr="00654452">
              <w:rPr>
                <w:rFonts w:cstheme="minorHAnsi"/>
                <w:b/>
                <w:color w:val="FFFFFF" w:themeColor="background1"/>
                <w:sz w:val="24"/>
                <w:lang w:val="en-US"/>
              </w:rPr>
              <w:t>)</w:t>
            </w:r>
          </w:p>
        </w:tc>
      </w:tr>
      <w:tr w:rsidR="004670D2" w:rsidRPr="00C223AC" w:rsidTr="00A33C6C">
        <w:tc>
          <w:tcPr>
            <w:tcW w:w="2694" w:type="dxa"/>
            <w:tcBorders>
              <w:top w:val="single" w:sz="4" w:space="0" w:color="auto"/>
              <w:left w:val="single" w:sz="4" w:space="0" w:color="auto"/>
              <w:bottom w:val="single" w:sz="4" w:space="0" w:color="auto"/>
              <w:right w:val="single" w:sz="4" w:space="0" w:color="auto"/>
            </w:tcBorders>
          </w:tcPr>
          <w:p w:rsidR="004670D2" w:rsidRPr="00654452" w:rsidRDefault="004670D2" w:rsidP="00BA4198">
            <w:pPr>
              <w:spacing w:before="240"/>
              <w:ind w:left="12"/>
              <w:rPr>
                <w:rFonts w:cstheme="minorHAnsi"/>
              </w:rPr>
            </w:pPr>
            <w:r w:rsidRPr="00654452">
              <w:rPr>
                <w:rFonts w:cstheme="minorHAnsi"/>
                <w:b/>
              </w:rPr>
              <w:t>Oppimisen taidot</w:t>
            </w:r>
            <w:r>
              <w:rPr>
                <w:rFonts w:cstheme="minorHAnsi"/>
                <w:b/>
              </w:rPr>
              <w:br/>
            </w:r>
            <w:r w:rsidRPr="00654452">
              <w:rPr>
                <w:rFonts w:cstheme="minorHAnsi"/>
              </w:rPr>
              <w:t>(</w:t>
            </w:r>
            <w:r w:rsidRPr="00654452">
              <w:rPr>
                <w:rFonts w:cstheme="minorHAnsi"/>
                <w:i/>
              </w:rPr>
              <w:t xml:space="preserve">Learning </w:t>
            </w:r>
            <w:proofErr w:type="spellStart"/>
            <w:r w:rsidRPr="00654452">
              <w:rPr>
                <w:rFonts w:cstheme="minorHAnsi"/>
                <w:i/>
              </w:rPr>
              <w:t>competence</w:t>
            </w:r>
            <w:proofErr w:type="spellEnd"/>
            <w:r w:rsidRPr="00654452">
              <w:rPr>
                <w:rFonts w:cstheme="minorHAnsi"/>
              </w:rPr>
              <w:t>)</w:t>
            </w:r>
          </w:p>
        </w:tc>
        <w:tc>
          <w:tcPr>
            <w:tcW w:w="7087" w:type="dxa"/>
            <w:tcBorders>
              <w:top w:val="single" w:sz="4" w:space="0" w:color="auto"/>
              <w:left w:val="single" w:sz="4" w:space="0" w:color="auto"/>
              <w:bottom w:val="single" w:sz="4" w:space="0" w:color="auto"/>
              <w:right w:val="single" w:sz="4" w:space="0" w:color="auto"/>
            </w:tcBorders>
          </w:tcPr>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osaa arvioida ja kehittää osaamistaan ja oppimistapojaan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osaa hankkia, käsitellä ja arvioida tietoa kriittisesti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kykenee ottamaan vastuuta ryhmän oppimisesta ja opitun jakamisesta</w:t>
            </w:r>
          </w:p>
          <w:p w:rsidR="004670D2" w:rsidRPr="00761858" w:rsidRDefault="004670D2" w:rsidP="004670D2">
            <w:pPr>
              <w:pStyle w:val="Luettelokappale"/>
              <w:numPr>
                <w:ilvl w:val="0"/>
                <w:numId w:val="1"/>
              </w:numPr>
              <w:spacing w:after="0" w:line="240" w:lineRule="auto"/>
              <w:ind w:left="357" w:hanging="357"/>
              <w:rPr>
                <w:rFonts w:cstheme="minorHAnsi"/>
                <w:snapToGrid w:val="0"/>
              </w:rPr>
            </w:pPr>
            <w:r w:rsidRPr="00761858">
              <w:rPr>
                <w:rFonts w:cstheme="minorHAnsi"/>
                <w:snapToGrid w:val="0"/>
              </w:rPr>
              <w:t>osaa yhdistää yrittäjämäisen toimintatavan osaksi ammatillista kehittymistään ja urasuunnitteluaan</w:t>
            </w:r>
          </w:p>
        </w:tc>
      </w:tr>
      <w:tr w:rsidR="004670D2" w:rsidRPr="00C223AC" w:rsidTr="00A33C6C">
        <w:tc>
          <w:tcPr>
            <w:tcW w:w="2694" w:type="dxa"/>
            <w:tcBorders>
              <w:top w:val="single" w:sz="4" w:space="0" w:color="auto"/>
              <w:left w:val="single" w:sz="4" w:space="0" w:color="auto"/>
              <w:bottom w:val="single" w:sz="4" w:space="0" w:color="auto"/>
              <w:right w:val="single" w:sz="4" w:space="0" w:color="auto"/>
            </w:tcBorders>
          </w:tcPr>
          <w:p w:rsidR="004670D2" w:rsidRPr="00654452" w:rsidRDefault="004670D2" w:rsidP="00BA4198">
            <w:pPr>
              <w:spacing w:before="240"/>
              <w:ind w:left="12"/>
              <w:rPr>
                <w:rFonts w:cstheme="minorHAnsi"/>
                <w:b/>
              </w:rPr>
            </w:pPr>
            <w:r w:rsidRPr="00654452">
              <w:rPr>
                <w:rFonts w:cstheme="minorHAnsi"/>
                <w:b/>
              </w:rPr>
              <w:t>Eettinen osaaminen</w:t>
            </w:r>
            <w:r>
              <w:rPr>
                <w:rFonts w:cstheme="minorHAnsi"/>
                <w:b/>
              </w:rPr>
              <w:br/>
            </w:r>
            <w:r w:rsidRPr="00654452">
              <w:rPr>
                <w:rFonts w:cstheme="minorHAnsi"/>
              </w:rPr>
              <w:t>(</w:t>
            </w:r>
            <w:proofErr w:type="spellStart"/>
            <w:r w:rsidRPr="00654452">
              <w:rPr>
                <w:rFonts w:cstheme="minorHAnsi"/>
                <w:i/>
              </w:rPr>
              <w:t>Ethical</w:t>
            </w:r>
            <w:proofErr w:type="spellEnd"/>
            <w:r w:rsidRPr="00654452">
              <w:rPr>
                <w:rFonts w:cstheme="minorHAnsi"/>
                <w:i/>
              </w:rPr>
              <w:t xml:space="preserve"> </w:t>
            </w:r>
            <w:proofErr w:type="spellStart"/>
            <w:r w:rsidRPr="00654452">
              <w:rPr>
                <w:rFonts w:cstheme="minorHAnsi"/>
                <w:i/>
              </w:rPr>
              <w:t>competence</w:t>
            </w:r>
            <w:proofErr w:type="spellEnd"/>
            <w:r w:rsidRPr="00654452">
              <w:rPr>
                <w:rFonts w:cstheme="minorHAnsi"/>
              </w:rPr>
              <w:t>)</w:t>
            </w:r>
          </w:p>
        </w:tc>
        <w:tc>
          <w:tcPr>
            <w:tcW w:w="7087" w:type="dxa"/>
            <w:tcBorders>
              <w:top w:val="single" w:sz="4" w:space="0" w:color="auto"/>
              <w:left w:val="single" w:sz="4" w:space="0" w:color="auto"/>
              <w:bottom w:val="single" w:sz="4" w:space="0" w:color="auto"/>
              <w:right w:val="single" w:sz="4" w:space="0" w:color="auto"/>
            </w:tcBorders>
          </w:tcPr>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kykenee ottamaan vastuun omas</w:t>
            </w:r>
            <w:r>
              <w:rPr>
                <w:rFonts w:asciiTheme="minorHAnsi" w:hAnsiTheme="minorHAnsi" w:cstheme="minorHAnsi"/>
                <w:sz w:val="22"/>
                <w:szCs w:val="22"/>
              </w:rPr>
              <w:t>ta toiminnastaan ja sen seurauk</w:t>
            </w:r>
            <w:r w:rsidRPr="00654452">
              <w:rPr>
                <w:rFonts w:asciiTheme="minorHAnsi" w:hAnsiTheme="minorHAnsi" w:cstheme="minorHAnsi"/>
                <w:sz w:val="22"/>
                <w:szCs w:val="22"/>
              </w:rPr>
              <w:t xml:space="preserve">sista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osaa toimia alansa ammattieettisten periaatteiden mukaisesti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osaa ottaa erilaiset toimijat huomioon työskentelyssään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osaa soveltaa tasa-arvoisuuden periaatteita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osaa soveltaa kestävän kehityksen periaatteita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kykenee vaikuttamaan yhteiskunnallisesti osaamistaan hyödyntäen ja eettisiin arvoihin perustuen </w:t>
            </w:r>
          </w:p>
        </w:tc>
      </w:tr>
      <w:tr w:rsidR="004670D2" w:rsidRPr="00C223AC" w:rsidTr="00A33C6C">
        <w:tc>
          <w:tcPr>
            <w:tcW w:w="2694" w:type="dxa"/>
            <w:tcBorders>
              <w:top w:val="single" w:sz="4" w:space="0" w:color="auto"/>
              <w:left w:val="single" w:sz="4" w:space="0" w:color="auto"/>
              <w:bottom w:val="single" w:sz="4" w:space="0" w:color="auto"/>
              <w:right w:val="single" w:sz="4" w:space="0" w:color="auto"/>
            </w:tcBorders>
          </w:tcPr>
          <w:p w:rsidR="004670D2" w:rsidRPr="00654452" w:rsidRDefault="004670D2" w:rsidP="00BA4198">
            <w:pPr>
              <w:spacing w:before="240"/>
              <w:ind w:left="12"/>
              <w:rPr>
                <w:rFonts w:cstheme="minorHAnsi"/>
                <w:b/>
              </w:rPr>
            </w:pPr>
            <w:r w:rsidRPr="00654452">
              <w:rPr>
                <w:rFonts w:cstheme="minorHAnsi"/>
                <w:b/>
              </w:rPr>
              <w:t>Työyhteisöosaaminen</w:t>
            </w:r>
            <w:r>
              <w:rPr>
                <w:rFonts w:cstheme="minorHAnsi"/>
                <w:b/>
              </w:rPr>
              <w:br/>
            </w:r>
            <w:r w:rsidRPr="00654452">
              <w:rPr>
                <w:rFonts w:cstheme="minorHAnsi"/>
                <w:i/>
              </w:rPr>
              <w:t>(</w:t>
            </w:r>
            <w:proofErr w:type="spellStart"/>
            <w:r w:rsidRPr="00654452">
              <w:rPr>
                <w:rFonts w:cstheme="minorHAnsi"/>
                <w:i/>
              </w:rPr>
              <w:t>Working</w:t>
            </w:r>
            <w:proofErr w:type="spellEnd"/>
            <w:r w:rsidRPr="00654452">
              <w:rPr>
                <w:rFonts w:cstheme="minorHAnsi"/>
                <w:i/>
              </w:rPr>
              <w:t xml:space="preserve"> </w:t>
            </w:r>
            <w:proofErr w:type="spellStart"/>
            <w:r w:rsidRPr="00654452">
              <w:rPr>
                <w:rFonts w:cstheme="minorHAnsi"/>
                <w:i/>
              </w:rPr>
              <w:t>community</w:t>
            </w:r>
            <w:proofErr w:type="spellEnd"/>
            <w:r w:rsidRPr="00654452">
              <w:rPr>
                <w:rFonts w:cstheme="minorHAnsi"/>
                <w:i/>
              </w:rPr>
              <w:t xml:space="preserve"> </w:t>
            </w:r>
            <w:proofErr w:type="spellStart"/>
            <w:r w:rsidRPr="00654452">
              <w:rPr>
                <w:rFonts w:cstheme="minorHAnsi"/>
                <w:i/>
              </w:rPr>
              <w:t>competence</w:t>
            </w:r>
            <w:proofErr w:type="spellEnd"/>
            <w:r w:rsidRPr="00654452">
              <w:rPr>
                <w:rFonts w:cstheme="minorHAnsi"/>
                <w:i/>
              </w:rPr>
              <w:t>)</w:t>
            </w:r>
          </w:p>
        </w:tc>
        <w:tc>
          <w:tcPr>
            <w:tcW w:w="7087" w:type="dxa"/>
            <w:tcBorders>
              <w:top w:val="single" w:sz="4" w:space="0" w:color="auto"/>
              <w:left w:val="single" w:sz="4" w:space="0" w:color="auto"/>
              <w:bottom w:val="single" w:sz="4" w:space="0" w:color="auto"/>
              <w:right w:val="single" w:sz="4" w:space="0" w:color="auto"/>
            </w:tcBorders>
          </w:tcPr>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osaa toimia työyhteisön jäsenenä ja edistää yhteisön hyvinvointia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osaa toimia työelämän viestintä- ja vuorovaikutustilanteissa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osaa hyödyntää tieto- ja viestintätekniikkaa oman alansa tehtävissä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kykenee luomaan henkilökohtaisia työelämäyhteyksiä ja toimimaan verkostoissa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osaa tehdä päätöksiä ennakoimattomissa tilanteissa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kykenee työn johtamiseen ja itsenäiseen työskentelyyn asiantuntijatehtävissä</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omaa valmiuksia yrittäjyyteen </w:t>
            </w:r>
          </w:p>
        </w:tc>
      </w:tr>
      <w:tr w:rsidR="004670D2" w:rsidRPr="00C223AC" w:rsidTr="00A33C6C">
        <w:tc>
          <w:tcPr>
            <w:tcW w:w="2694" w:type="dxa"/>
            <w:tcBorders>
              <w:top w:val="single" w:sz="4" w:space="0" w:color="auto"/>
              <w:left w:val="single" w:sz="4" w:space="0" w:color="auto"/>
              <w:bottom w:val="single" w:sz="4" w:space="0" w:color="auto"/>
              <w:right w:val="single" w:sz="4" w:space="0" w:color="auto"/>
            </w:tcBorders>
          </w:tcPr>
          <w:p w:rsidR="004670D2" w:rsidRPr="00654452" w:rsidRDefault="004670D2" w:rsidP="00BA4198">
            <w:pPr>
              <w:spacing w:before="240"/>
              <w:rPr>
                <w:rFonts w:cstheme="minorHAnsi"/>
                <w:b/>
              </w:rPr>
            </w:pPr>
            <w:r w:rsidRPr="00654452">
              <w:rPr>
                <w:rFonts w:cstheme="minorHAnsi"/>
                <w:b/>
              </w:rPr>
              <w:t>Innovaatio-osaaminen</w:t>
            </w:r>
            <w:r>
              <w:rPr>
                <w:rFonts w:cstheme="minorHAnsi"/>
                <w:b/>
              </w:rPr>
              <w:br/>
            </w:r>
            <w:r w:rsidRPr="00654452">
              <w:rPr>
                <w:rFonts w:cstheme="minorHAnsi"/>
                <w:i/>
              </w:rPr>
              <w:t xml:space="preserve">(Innovation </w:t>
            </w:r>
            <w:proofErr w:type="spellStart"/>
            <w:r w:rsidRPr="00654452">
              <w:rPr>
                <w:rFonts w:cstheme="minorHAnsi"/>
                <w:i/>
              </w:rPr>
              <w:t>competence</w:t>
            </w:r>
            <w:proofErr w:type="spellEnd"/>
            <w:r w:rsidRPr="00654452">
              <w:rPr>
                <w:rFonts w:cstheme="minorHAnsi"/>
                <w:i/>
              </w:rPr>
              <w:t>)</w:t>
            </w:r>
          </w:p>
        </w:tc>
        <w:tc>
          <w:tcPr>
            <w:tcW w:w="7087" w:type="dxa"/>
            <w:tcBorders>
              <w:top w:val="single" w:sz="4" w:space="0" w:color="auto"/>
              <w:left w:val="single" w:sz="4" w:space="0" w:color="auto"/>
              <w:bottom w:val="single" w:sz="4" w:space="0" w:color="auto"/>
              <w:right w:val="single" w:sz="4" w:space="0" w:color="auto"/>
            </w:tcBorders>
          </w:tcPr>
          <w:p w:rsidR="004670D2" w:rsidRDefault="004670D2" w:rsidP="004670D2">
            <w:pPr>
              <w:pStyle w:val="Default"/>
              <w:numPr>
                <w:ilvl w:val="0"/>
                <w:numId w:val="1"/>
              </w:numPr>
              <w:ind w:left="357" w:hanging="357"/>
              <w:rPr>
                <w:rFonts w:asciiTheme="minorHAnsi" w:hAnsiTheme="minorHAnsi" w:cstheme="minorHAnsi"/>
                <w:sz w:val="22"/>
                <w:szCs w:val="22"/>
              </w:rPr>
            </w:pPr>
            <w:r w:rsidRPr="00F40346">
              <w:rPr>
                <w:rFonts w:asciiTheme="minorHAnsi" w:hAnsiTheme="minorHAnsi" w:cstheme="minorHAnsi"/>
                <w:sz w:val="22"/>
                <w:szCs w:val="22"/>
              </w:rPr>
              <w:t>kykenee luovaan ongelmanratkais</w:t>
            </w:r>
            <w:r>
              <w:rPr>
                <w:rFonts w:asciiTheme="minorHAnsi" w:hAnsiTheme="minorHAnsi" w:cstheme="minorHAnsi"/>
                <w:sz w:val="22"/>
                <w:szCs w:val="22"/>
              </w:rPr>
              <w:t>uun ja työtapojen kehittämiseen</w:t>
            </w:r>
          </w:p>
          <w:p w:rsidR="004670D2" w:rsidRPr="00F40346" w:rsidRDefault="004670D2" w:rsidP="004670D2">
            <w:pPr>
              <w:pStyle w:val="Default"/>
              <w:numPr>
                <w:ilvl w:val="0"/>
                <w:numId w:val="1"/>
              </w:numPr>
              <w:ind w:left="357" w:hanging="357"/>
              <w:rPr>
                <w:rFonts w:asciiTheme="minorHAnsi" w:hAnsiTheme="minorHAnsi" w:cstheme="minorHAnsi"/>
                <w:sz w:val="22"/>
                <w:szCs w:val="22"/>
              </w:rPr>
            </w:pPr>
            <w:r w:rsidRPr="00F40346">
              <w:rPr>
                <w:rFonts w:asciiTheme="minorHAnsi" w:hAnsiTheme="minorHAnsi" w:cstheme="minorHAnsi"/>
                <w:sz w:val="22"/>
                <w:szCs w:val="22"/>
              </w:rPr>
              <w:t xml:space="preserve">osaa työskennellä projekteissa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osaa toteuttaa tutkimus- ja kehittämishankkeita soveltaen alan olemassa olevaa tietoa ja menetelmiä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osaa etsiä asiakaslähtöisiä, kestäviä ja taloudellisesti kannattavia ratkaisuja </w:t>
            </w:r>
          </w:p>
        </w:tc>
      </w:tr>
      <w:tr w:rsidR="004670D2" w:rsidRPr="00C223AC" w:rsidTr="00A33C6C">
        <w:tc>
          <w:tcPr>
            <w:tcW w:w="2694" w:type="dxa"/>
            <w:tcBorders>
              <w:top w:val="single" w:sz="4" w:space="0" w:color="auto"/>
              <w:left w:val="single" w:sz="4" w:space="0" w:color="auto"/>
              <w:bottom w:val="single" w:sz="4" w:space="0" w:color="auto"/>
              <w:right w:val="single" w:sz="4" w:space="0" w:color="auto"/>
            </w:tcBorders>
          </w:tcPr>
          <w:p w:rsidR="004670D2" w:rsidRPr="00654452" w:rsidRDefault="004670D2" w:rsidP="00BA4198">
            <w:pPr>
              <w:spacing w:before="240"/>
              <w:ind w:left="12"/>
              <w:rPr>
                <w:rFonts w:cstheme="minorHAnsi"/>
                <w:b/>
              </w:rPr>
            </w:pPr>
            <w:r w:rsidRPr="00654452">
              <w:rPr>
                <w:rFonts w:cstheme="minorHAnsi"/>
                <w:b/>
              </w:rPr>
              <w:t>Kansainvälisyysosaaminen</w:t>
            </w:r>
            <w:r>
              <w:rPr>
                <w:rFonts w:cstheme="minorHAnsi"/>
                <w:b/>
              </w:rPr>
              <w:br/>
            </w:r>
            <w:r w:rsidRPr="00654452">
              <w:rPr>
                <w:rFonts w:cstheme="minorHAnsi"/>
              </w:rPr>
              <w:t>(</w:t>
            </w:r>
            <w:r w:rsidRPr="00654452">
              <w:rPr>
                <w:rFonts w:cstheme="minorHAnsi"/>
                <w:i/>
              </w:rPr>
              <w:t xml:space="preserve">International </w:t>
            </w:r>
            <w:proofErr w:type="spellStart"/>
            <w:r w:rsidRPr="00654452">
              <w:rPr>
                <w:rFonts w:cstheme="minorHAnsi"/>
                <w:i/>
              </w:rPr>
              <w:t>competence</w:t>
            </w:r>
            <w:proofErr w:type="spellEnd"/>
            <w:r w:rsidRPr="00654452">
              <w:rPr>
                <w:rFonts w:cstheme="minorHAnsi"/>
              </w:rPr>
              <w:t>)</w:t>
            </w:r>
          </w:p>
        </w:tc>
        <w:tc>
          <w:tcPr>
            <w:tcW w:w="7087" w:type="dxa"/>
            <w:tcBorders>
              <w:top w:val="single" w:sz="4" w:space="0" w:color="auto"/>
              <w:left w:val="single" w:sz="4" w:space="0" w:color="auto"/>
              <w:bottom w:val="single" w:sz="4" w:space="0" w:color="auto"/>
              <w:right w:val="single" w:sz="4" w:space="0" w:color="auto"/>
            </w:tcBorders>
          </w:tcPr>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omaa alansa työtehtävissä ja kehittymisessä tarvittavan kielitaidon</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kykenee monikulttuuriseen yhteistyöhön </w:t>
            </w:r>
          </w:p>
          <w:p w:rsidR="004670D2" w:rsidRPr="00654452" w:rsidRDefault="004670D2" w:rsidP="004670D2">
            <w:pPr>
              <w:pStyle w:val="Default"/>
              <w:numPr>
                <w:ilvl w:val="0"/>
                <w:numId w:val="1"/>
              </w:numPr>
              <w:ind w:left="357" w:hanging="357"/>
              <w:rPr>
                <w:rFonts w:asciiTheme="minorHAnsi" w:hAnsiTheme="minorHAnsi" w:cstheme="minorHAnsi"/>
                <w:sz w:val="22"/>
                <w:szCs w:val="22"/>
              </w:rPr>
            </w:pPr>
            <w:r w:rsidRPr="00654452">
              <w:rPr>
                <w:rFonts w:asciiTheme="minorHAnsi" w:hAnsiTheme="minorHAnsi" w:cstheme="minorHAnsi"/>
                <w:sz w:val="22"/>
                <w:szCs w:val="22"/>
              </w:rPr>
              <w:t xml:space="preserve">osaa ottaa työssään huomioon alansa kansainvälisyyskehityksen vaikutuksia ja mahdollisuuksia </w:t>
            </w:r>
          </w:p>
        </w:tc>
      </w:tr>
    </w:tbl>
    <w:p w:rsidR="004670D2" w:rsidRDefault="004670D2"/>
    <w:p w:rsidR="00A33C6C" w:rsidRDefault="00A33C6C">
      <w:r>
        <w:t xml:space="preserve">3 </w:t>
      </w:r>
    </w:p>
    <w:p w:rsidR="00A33C6C" w:rsidRDefault="00A33C6C"/>
    <w:tbl>
      <w:tblPr>
        <w:tblpPr w:leftFromText="141" w:rightFromText="141" w:vertAnchor="page" w:horzAnchor="margin" w:tblpX="-39" w:tblpY="58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092"/>
      </w:tblGrid>
      <w:tr w:rsidR="00A33C6C" w:rsidRPr="00C223AC" w:rsidTr="00A33C6C">
        <w:trPr>
          <w:trHeight w:val="1129"/>
        </w:trPr>
        <w:tc>
          <w:tcPr>
            <w:tcW w:w="2689" w:type="dxa"/>
            <w:tcBorders>
              <w:top w:val="single" w:sz="4" w:space="0" w:color="auto"/>
              <w:left w:val="single" w:sz="4" w:space="0" w:color="auto"/>
              <w:bottom w:val="single" w:sz="4" w:space="0" w:color="auto"/>
              <w:right w:val="single" w:sz="4" w:space="0" w:color="auto"/>
            </w:tcBorders>
            <w:shd w:val="clear" w:color="auto" w:fill="4BACC6" w:themeFill="accent5"/>
          </w:tcPr>
          <w:p w:rsidR="00A33C6C" w:rsidRPr="00654452" w:rsidRDefault="00A33C6C" w:rsidP="00A33C6C">
            <w:pPr>
              <w:spacing w:before="240" w:line="240" w:lineRule="auto"/>
              <w:rPr>
                <w:rFonts w:cstheme="minorHAnsi"/>
                <w:b/>
                <w:color w:val="FFFFFF" w:themeColor="background1"/>
                <w:sz w:val="28"/>
              </w:rPr>
            </w:pPr>
            <w:r>
              <w:rPr>
                <w:rFonts w:cstheme="minorHAnsi"/>
                <w:b/>
                <w:color w:val="FFFFFF" w:themeColor="background1"/>
                <w:sz w:val="28"/>
              </w:rPr>
              <w:t>Suuhygienistin ammatilliset</w:t>
            </w:r>
            <w:r>
              <w:rPr>
                <w:rFonts w:cstheme="minorHAnsi"/>
                <w:b/>
                <w:color w:val="FFFFFF" w:themeColor="background1"/>
                <w:sz w:val="28"/>
              </w:rPr>
              <w:br/>
            </w:r>
            <w:r w:rsidRPr="00654452">
              <w:rPr>
                <w:rFonts w:cstheme="minorHAnsi"/>
                <w:b/>
                <w:color w:val="FFFFFF" w:themeColor="background1"/>
                <w:sz w:val="28"/>
              </w:rPr>
              <w:t>kompetenssit</w:t>
            </w:r>
          </w:p>
        </w:tc>
        <w:tc>
          <w:tcPr>
            <w:tcW w:w="7092" w:type="dxa"/>
            <w:tcBorders>
              <w:top w:val="single" w:sz="4" w:space="0" w:color="auto"/>
              <w:left w:val="single" w:sz="4" w:space="0" w:color="auto"/>
              <w:bottom w:val="single" w:sz="4" w:space="0" w:color="auto"/>
              <w:right w:val="single" w:sz="4" w:space="0" w:color="auto"/>
            </w:tcBorders>
            <w:shd w:val="clear" w:color="auto" w:fill="4BACC6" w:themeFill="accent5"/>
          </w:tcPr>
          <w:p w:rsidR="00A33C6C" w:rsidRPr="00654452" w:rsidRDefault="00A33C6C" w:rsidP="00A33C6C">
            <w:pPr>
              <w:spacing w:before="240" w:line="240" w:lineRule="auto"/>
              <w:rPr>
                <w:rFonts w:cstheme="minorHAnsi"/>
                <w:b/>
                <w:snapToGrid w:val="0"/>
                <w:color w:val="FFFFFF" w:themeColor="background1"/>
                <w:sz w:val="28"/>
              </w:rPr>
            </w:pPr>
            <w:r w:rsidRPr="00654452">
              <w:rPr>
                <w:rFonts w:cstheme="minorHAnsi"/>
                <w:b/>
                <w:snapToGrid w:val="0"/>
                <w:color w:val="FFFFFF" w:themeColor="background1"/>
                <w:sz w:val="28"/>
              </w:rPr>
              <w:t>Osaamisen kuvaus</w:t>
            </w:r>
          </w:p>
        </w:tc>
      </w:tr>
      <w:tr w:rsidR="00A33C6C" w:rsidRPr="00C223AC" w:rsidTr="00A33C6C">
        <w:tc>
          <w:tcPr>
            <w:tcW w:w="2689" w:type="dxa"/>
            <w:tcBorders>
              <w:top w:val="single" w:sz="4" w:space="0" w:color="auto"/>
              <w:left w:val="single" w:sz="4" w:space="0" w:color="auto"/>
              <w:bottom w:val="single" w:sz="4" w:space="0" w:color="auto"/>
              <w:right w:val="single" w:sz="4" w:space="0" w:color="auto"/>
            </w:tcBorders>
          </w:tcPr>
          <w:p w:rsidR="00A33C6C" w:rsidRPr="00654452" w:rsidRDefault="00A33C6C" w:rsidP="00A33C6C">
            <w:pPr>
              <w:spacing w:before="240"/>
              <w:ind w:left="12"/>
              <w:rPr>
                <w:rFonts w:cstheme="minorHAnsi"/>
                <w:b/>
              </w:rPr>
            </w:pPr>
            <w:r w:rsidRPr="009D0854">
              <w:rPr>
                <w:rFonts w:ascii="Times New Roman" w:eastAsia="Times New Roman" w:hAnsi="Times New Roman" w:cs="Times New Roman"/>
                <w:b/>
                <w:sz w:val="20"/>
                <w:szCs w:val="20"/>
                <w:lang w:eastAsia="en-US"/>
              </w:rPr>
              <w:t>Terveyden edistämisen osaaminen suun terveydenhoitotyössä</w:t>
            </w:r>
          </w:p>
        </w:tc>
        <w:tc>
          <w:tcPr>
            <w:tcW w:w="7092" w:type="dxa"/>
            <w:tcBorders>
              <w:top w:val="single" w:sz="4" w:space="0" w:color="auto"/>
              <w:left w:val="single" w:sz="4" w:space="0" w:color="auto"/>
              <w:bottom w:val="single" w:sz="4" w:space="0" w:color="auto"/>
              <w:right w:val="single" w:sz="4" w:space="0" w:color="auto"/>
            </w:tcBorders>
          </w:tcPr>
          <w:p w:rsidR="00A33C6C" w:rsidRPr="00592753" w:rsidRDefault="00A33C6C" w:rsidP="00A33C6C">
            <w:pPr>
              <w:pStyle w:val="Luettelokappale"/>
              <w:numPr>
                <w:ilvl w:val="0"/>
                <w:numId w:val="2"/>
              </w:numPr>
              <w:spacing w:after="0" w:line="240" w:lineRule="auto"/>
              <w:ind w:left="357" w:hanging="357"/>
              <w:rPr>
                <w:rFonts w:cstheme="minorHAnsi"/>
                <w:sz w:val="20"/>
                <w:szCs w:val="20"/>
              </w:rPr>
            </w:pPr>
            <w:r w:rsidRPr="00592753">
              <w:rPr>
                <w:rFonts w:cstheme="minorHAnsi"/>
                <w:sz w:val="20"/>
                <w:szCs w:val="20"/>
              </w:rPr>
              <w:t>osaa terveyden edistämisen lähtökohdat ja voimavarakeskeiset työmenetelmät</w:t>
            </w:r>
          </w:p>
          <w:p w:rsidR="00A33C6C" w:rsidRPr="00592753" w:rsidRDefault="00A33C6C" w:rsidP="00A33C6C">
            <w:pPr>
              <w:pStyle w:val="Luettelokappale"/>
              <w:numPr>
                <w:ilvl w:val="0"/>
                <w:numId w:val="2"/>
              </w:numPr>
              <w:spacing w:after="0" w:line="240" w:lineRule="auto"/>
              <w:ind w:left="357" w:hanging="357"/>
              <w:rPr>
                <w:rFonts w:cstheme="minorHAnsi"/>
                <w:sz w:val="20"/>
                <w:szCs w:val="20"/>
              </w:rPr>
            </w:pPr>
            <w:r w:rsidRPr="00592753">
              <w:rPr>
                <w:rFonts w:cstheme="minorHAnsi"/>
                <w:sz w:val="20"/>
                <w:szCs w:val="20"/>
              </w:rPr>
              <w:t>osaa käyttää niitä yksilön, perheen ja yhteisön suun terveydenhoidon edistämisessä</w:t>
            </w:r>
          </w:p>
          <w:p w:rsidR="00A33C6C" w:rsidRPr="00592753" w:rsidRDefault="00A33C6C" w:rsidP="00A33C6C">
            <w:pPr>
              <w:pStyle w:val="Luettelokappale"/>
              <w:numPr>
                <w:ilvl w:val="0"/>
                <w:numId w:val="2"/>
              </w:numPr>
              <w:spacing w:after="0" w:line="240" w:lineRule="auto"/>
              <w:ind w:left="357" w:hanging="357"/>
              <w:rPr>
                <w:rFonts w:cstheme="minorHAnsi"/>
                <w:sz w:val="20"/>
                <w:szCs w:val="20"/>
              </w:rPr>
            </w:pPr>
            <w:r w:rsidRPr="00592753">
              <w:rPr>
                <w:rFonts w:cstheme="minorHAnsi"/>
                <w:sz w:val="20"/>
                <w:szCs w:val="20"/>
              </w:rPr>
              <w:t>osaa näyttöön perustuvan suu terveyden edistämisen toiminnan</w:t>
            </w:r>
          </w:p>
          <w:p w:rsidR="00A33C6C" w:rsidRPr="00592753" w:rsidRDefault="00A33C6C" w:rsidP="00A33C6C">
            <w:pPr>
              <w:pStyle w:val="Luettelokappale"/>
              <w:numPr>
                <w:ilvl w:val="0"/>
                <w:numId w:val="2"/>
              </w:numPr>
              <w:spacing w:after="0" w:line="240" w:lineRule="auto"/>
              <w:ind w:left="357" w:hanging="357"/>
              <w:rPr>
                <w:rFonts w:cstheme="minorHAnsi"/>
                <w:sz w:val="20"/>
                <w:szCs w:val="20"/>
              </w:rPr>
            </w:pPr>
            <w:r w:rsidRPr="00592753">
              <w:rPr>
                <w:rFonts w:cstheme="minorHAnsi"/>
                <w:sz w:val="20"/>
                <w:szCs w:val="20"/>
              </w:rPr>
              <w:t>osaa toimia suun terveydenhoitotyön asiantuntijana moniammatillisessa tiimissä</w:t>
            </w:r>
          </w:p>
          <w:p w:rsidR="00A33C6C" w:rsidRPr="00592753" w:rsidRDefault="00A33C6C" w:rsidP="00A33C6C">
            <w:pPr>
              <w:pStyle w:val="Luettelokappale"/>
              <w:numPr>
                <w:ilvl w:val="0"/>
                <w:numId w:val="2"/>
              </w:numPr>
              <w:spacing w:after="0" w:line="240" w:lineRule="auto"/>
              <w:ind w:left="357" w:hanging="357"/>
              <w:rPr>
                <w:rFonts w:cstheme="minorHAnsi"/>
                <w:sz w:val="20"/>
                <w:szCs w:val="20"/>
              </w:rPr>
            </w:pPr>
            <w:r w:rsidRPr="00592753">
              <w:rPr>
                <w:rFonts w:cstheme="minorHAnsi"/>
                <w:sz w:val="20"/>
                <w:szCs w:val="20"/>
              </w:rPr>
              <w:t xml:space="preserve"> kykenee osallistumaan yhteiskunnalliseen suun terveyden edistämiseen</w:t>
            </w:r>
          </w:p>
        </w:tc>
      </w:tr>
      <w:tr w:rsidR="00A33C6C" w:rsidRPr="00C223AC" w:rsidTr="00A33C6C">
        <w:tc>
          <w:tcPr>
            <w:tcW w:w="2689" w:type="dxa"/>
            <w:tcBorders>
              <w:top w:val="single" w:sz="4" w:space="0" w:color="auto"/>
              <w:left w:val="single" w:sz="4" w:space="0" w:color="auto"/>
              <w:bottom w:val="single" w:sz="4" w:space="0" w:color="auto"/>
              <w:right w:val="single" w:sz="4" w:space="0" w:color="auto"/>
            </w:tcBorders>
          </w:tcPr>
          <w:p w:rsidR="00A33C6C" w:rsidRPr="00654452" w:rsidRDefault="00A33C6C" w:rsidP="00A33C6C">
            <w:pPr>
              <w:spacing w:before="240" w:after="0"/>
              <w:rPr>
                <w:rFonts w:cstheme="minorHAnsi"/>
                <w:i/>
              </w:rPr>
            </w:pPr>
            <w:r w:rsidRPr="009D0854">
              <w:rPr>
                <w:rFonts w:ascii="Times New Roman" w:eastAsia="Times New Roman" w:hAnsi="Times New Roman" w:cs="Times New Roman"/>
                <w:b/>
                <w:sz w:val="20"/>
                <w:szCs w:val="20"/>
                <w:lang w:eastAsia="en-US"/>
              </w:rPr>
              <w:t>Suun terveydenhoitotyön osaaminen</w:t>
            </w:r>
          </w:p>
        </w:tc>
        <w:tc>
          <w:tcPr>
            <w:tcW w:w="7092" w:type="dxa"/>
            <w:tcBorders>
              <w:top w:val="single" w:sz="4" w:space="0" w:color="auto"/>
              <w:left w:val="single" w:sz="4" w:space="0" w:color="auto"/>
              <w:bottom w:val="single" w:sz="4" w:space="0" w:color="auto"/>
              <w:right w:val="single" w:sz="4" w:space="0" w:color="auto"/>
            </w:tcBorders>
          </w:tcPr>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osaa vastuualueensa suun terveydenhoitotyön prosessin, hammas- ja suusairauksien ehkäisyn sekä karieksen ja iensairauksien esiasteiden pysäyttämisen menetelmät</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 xml:space="preserve"> osaa hoitaa kiinnityskudossairauksia ja hyödyntää farmakologista tietoa työssään</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osaa intraoraali- ja panoraamakuvauksen sekä toimia turvallisen säteilykäytännön mukaisesti</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 xml:space="preserve">osaa ortodonttisen ja purentafysiologisen hoidon vastuualueensa tehtävät </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 xml:space="preserve">omaa valmiudet osallistua suukirurgisen ja proteettisen potilaan hoitoon </w:t>
            </w:r>
          </w:p>
        </w:tc>
      </w:tr>
      <w:tr w:rsidR="00A33C6C" w:rsidRPr="00C223AC" w:rsidTr="00A33C6C">
        <w:tc>
          <w:tcPr>
            <w:tcW w:w="2689" w:type="dxa"/>
            <w:tcBorders>
              <w:top w:val="single" w:sz="4" w:space="0" w:color="auto"/>
              <w:left w:val="single" w:sz="4" w:space="0" w:color="auto"/>
              <w:bottom w:val="single" w:sz="4" w:space="0" w:color="auto"/>
              <w:right w:val="single" w:sz="4" w:space="0" w:color="auto"/>
            </w:tcBorders>
          </w:tcPr>
          <w:p w:rsidR="00A33C6C" w:rsidRPr="00654452" w:rsidRDefault="00A33C6C" w:rsidP="00A33C6C">
            <w:pPr>
              <w:spacing w:before="240"/>
              <w:ind w:left="12"/>
              <w:rPr>
                <w:rFonts w:cstheme="minorHAnsi"/>
                <w:b/>
              </w:rPr>
            </w:pPr>
            <w:r w:rsidRPr="009D0854">
              <w:rPr>
                <w:rFonts w:ascii="Times New Roman" w:eastAsia="Times New Roman" w:hAnsi="Times New Roman" w:cs="Times New Roman"/>
                <w:b/>
                <w:sz w:val="20"/>
                <w:szCs w:val="20"/>
                <w:lang w:eastAsia="en-US"/>
              </w:rPr>
              <w:t>Suun terveydenhoitotyön ja ympäristön turvallisuusosaaminen</w:t>
            </w:r>
          </w:p>
        </w:tc>
        <w:tc>
          <w:tcPr>
            <w:tcW w:w="7092" w:type="dxa"/>
            <w:tcBorders>
              <w:top w:val="single" w:sz="4" w:space="0" w:color="auto"/>
              <w:left w:val="single" w:sz="4" w:space="0" w:color="auto"/>
              <w:bottom w:val="single" w:sz="4" w:space="0" w:color="auto"/>
              <w:right w:val="single" w:sz="4" w:space="0" w:color="auto"/>
            </w:tcBorders>
          </w:tcPr>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ymmärtää työympäristönsä työsuojelun periaatteet</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osaa toimia ergonomian periaatteiden mukaisesti</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osaa materiaalien, laitteiden ja koneiden turvallisen käytön</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 xml:space="preserve">osaa toimia suun terveydenhoidon ensiaputilanteissa </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osaa toimia vastuualueensa lääkehoidon periaatteiden mukaisesti</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osaa suun terveydenhoitotyön viestintä- ja tietotekniikan menetelmät</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osaa käyttää terveydenhuollon tietojärjestelmiä tietoturvan periaatteita noudattaen</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 xml:space="preserve">osaa vastata vastaanoton toimintavalmiudesta </w:t>
            </w:r>
          </w:p>
        </w:tc>
      </w:tr>
      <w:tr w:rsidR="00A33C6C" w:rsidRPr="00C223AC" w:rsidTr="00A33C6C">
        <w:tc>
          <w:tcPr>
            <w:tcW w:w="2689" w:type="dxa"/>
            <w:tcBorders>
              <w:top w:val="single" w:sz="4" w:space="0" w:color="auto"/>
              <w:left w:val="single" w:sz="4" w:space="0" w:color="auto"/>
              <w:bottom w:val="single" w:sz="4" w:space="0" w:color="auto"/>
              <w:right w:val="single" w:sz="4" w:space="0" w:color="auto"/>
            </w:tcBorders>
          </w:tcPr>
          <w:p w:rsidR="00A33C6C" w:rsidRPr="00734F1B" w:rsidRDefault="00A33C6C" w:rsidP="00A33C6C">
            <w:pPr>
              <w:spacing w:before="240"/>
              <w:ind w:left="12"/>
              <w:rPr>
                <w:rFonts w:ascii="Times New Roman" w:eastAsia="Times New Roman" w:hAnsi="Times New Roman" w:cs="Times New Roman"/>
                <w:b/>
                <w:sz w:val="20"/>
                <w:szCs w:val="20"/>
                <w:lang w:eastAsia="en-US"/>
              </w:rPr>
            </w:pPr>
            <w:r w:rsidRPr="00734F1B">
              <w:rPr>
                <w:rFonts w:cstheme="minorHAnsi"/>
                <w:b/>
                <w:snapToGrid w:val="0"/>
              </w:rPr>
              <w:t>Suun terveydenhoitotyön kehittämisen ja johtamisen osaaminen</w:t>
            </w:r>
          </w:p>
        </w:tc>
        <w:tc>
          <w:tcPr>
            <w:tcW w:w="7092" w:type="dxa"/>
            <w:tcBorders>
              <w:top w:val="single" w:sz="4" w:space="0" w:color="auto"/>
              <w:left w:val="single" w:sz="4" w:space="0" w:color="auto"/>
              <w:bottom w:val="single" w:sz="4" w:space="0" w:color="auto"/>
              <w:right w:val="single" w:sz="4" w:space="0" w:color="auto"/>
            </w:tcBorders>
          </w:tcPr>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osaa laadunhallinnan periaatteet ja osaa soveltaa niitä työssään.</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osaa soveltaa tutkimus- ja kehittämisosaamistaan suun terveydenhoitotyön kehittämisessä</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ymmärtää lähijohtamisen periaatteet ja osaa soveltaa niitä työssään</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osaa yhdistää yrittäjämäisen toimintatavan osaksi asiantuntijuuttaan ja urasuunnitteluaan</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Pr>
                <w:rFonts w:cstheme="minorHAnsi"/>
                <w:snapToGrid w:val="0"/>
                <w:sz w:val="20"/>
                <w:szCs w:val="20"/>
              </w:rPr>
              <w:t>tietää</w:t>
            </w:r>
            <w:r w:rsidRPr="00592753">
              <w:rPr>
                <w:rFonts w:cstheme="minorHAnsi"/>
                <w:snapToGrid w:val="0"/>
                <w:sz w:val="20"/>
                <w:szCs w:val="20"/>
              </w:rPr>
              <w:t xml:space="preserve"> hyvinvointiyrittäjyyden lähtökohdat ja yrityksen perustamismenettelyn </w:t>
            </w:r>
          </w:p>
          <w:p w:rsidR="00A33C6C" w:rsidRPr="00592753" w:rsidRDefault="00A33C6C" w:rsidP="00A33C6C">
            <w:pPr>
              <w:pStyle w:val="Luettelokappale"/>
              <w:numPr>
                <w:ilvl w:val="0"/>
                <w:numId w:val="2"/>
              </w:numPr>
              <w:spacing w:after="0" w:line="240" w:lineRule="auto"/>
              <w:ind w:left="357" w:hanging="357"/>
              <w:rPr>
                <w:rFonts w:cstheme="minorHAnsi"/>
                <w:snapToGrid w:val="0"/>
                <w:sz w:val="20"/>
                <w:szCs w:val="20"/>
              </w:rPr>
            </w:pPr>
            <w:r w:rsidRPr="00592753">
              <w:rPr>
                <w:rFonts w:cstheme="minorHAnsi"/>
                <w:snapToGrid w:val="0"/>
                <w:sz w:val="20"/>
                <w:szCs w:val="20"/>
              </w:rPr>
              <w:t>ymmärtää eettisesti toimivan terveysalan yritysidean kehittämisen perusteet</w:t>
            </w:r>
          </w:p>
        </w:tc>
      </w:tr>
    </w:tbl>
    <w:p w:rsidR="00A33C6C" w:rsidRDefault="00A33C6C"/>
    <w:p w:rsidR="00A33C6C" w:rsidRDefault="00A33C6C">
      <w: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A33C6C" w:rsidRPr="00023672" w:rsidTr="00BA4198">
        <w:tc>
          <w:tcPr>
            <w:tcW w:w="2093" w:type="dxa"/>
            <w:shd w:val="clear" w:color="auto" w:fill="31A3B5"/>
          </w:tcPr>
          <w:p w:rsidR="00A33C6C" w:rsidRPr="00023672" w:rsidRDefault="00A33C6C" w:rsidP="00BA4198">
            <w:pPr>
              <w:spacing w:before="240"/>
              <w:rPr>
                <w:rFonts w:ascii="Calibri" w:eastAsia="Times New Roman" w:hAnsi="Calibri" w:cs="Calibri"/>
                <w:b/>
                <w:color w:val="FFFFFF"/>
                <w:sz w:val="28"/>
                <w:szCs w:val="20"/>
              </w:rPr>
            </w:pPr>
          </w:p>
        </w:tc>
        <w:tc>
          <w:tcPr>
            <w:tcW w:w="1134" w:type="dxa"/>
            <w:shd w:val="clear" w:color="auto" w:fill="31A3B5"/>
          </w:tcPr>
          <w:p w:rsidR="00A33C6C" w:rsidRPr="00023672" w:rsidRDefault="00A33C6C" w:rsidP="00BA4198">
            <w:pPr>
              <w:spacing w:before="240"/>
              <w:rPr>
                <w:rFonts w:ascii="Calibri" w:eastAsia="Times New Roman" w:hAnsi="Calibri" w:cs="Calibri"/>
                <w:b/>
                <w:color w:val="FFFFFF"/>
                <w:sz w:val="28"/>
                <w:szCs w:val="20"/>
              </w:rPr>
            </w:pPr>
            <w:r w:rsidRPr="00023672">
              <w:rPr>
                <w:rFonts w:ascii="Calibri" w:eastAsia="Times New Roman" w:hAnsi="Calibri" w:cs="Calibri"/>
                <w:b/>
                <w:color w:val="FFFFFF"/>
                <w:sz w:val="28"/>
                <w:szCs w:val="20"/>
              </w:rPr>
              <w:t xml:space="preserve">Laajuus </w:t>
            </w:r>
          </w:p>
        </w:tc>
        <w:tc>
          <w:tcPr>
            <w:tcW w:w="6551" w:type="dxa"/>
            <w:shd w:val="clear" w:color="auto" w:fill="31A3B5"/>
          </w:tcPr>
          <w:p w:rsidR="00A33C6C" w:rsidRPr="00023672" w:rsidRDefault="00A33C6C" w:rsidP="00BA4198">
            <w:pPr>
              <w:spacing w:before="240"/>
              <w:rPr>
                <w:rFonts w:ascii="Calibri" w:eastAsia="Times New Roman" w:hAnsi="Calibri" w:cs="Calibri"/>
                <w:b/>
                <w:color w:val="FFFFFF"/>
                <w:sz w:val="28"/>
                <w:szCs w:val="20"/>
              </w:rPr>
            </w:pPr>
            <w:r w:rsidRPr="00023672">
              <w:rPr>
                <w:rFonts w:ascii="Calibri" w:eastAsia="Times New Roman" w:hAnsi="Calibri" w:cs="Calibri"/>
                <w:b/>
                <w:color w:val="FFFFFF"/>
                <w:sz w:val="28"/>
                <w:szCs w:val="20"/>
              </w:rPr>
              <w:t>Luonnehdinta opinnoista lyhyesti</w:t>
            </w:r>
          </w:p>
        </w:tc>
      </w:tr>
      <w:tr w:rsidR="00A33C6C" w:rsidRPr="00023672" w:rsidTr="00BA4198">
        <w:tc>
          <w:tcPr>
            <w:tcW w:w="2093" w:type="dxa"/>
          </w:tcPr>
          <w:p w:rsidR="00A33C6C" w:rsidRPr="00023672" w:rsidRDefault="00A33C6C" w:rsidP="00BA4198">
            <w:pPr>
              <w:spacing w:before="240"/>
              <w:rPr>
                <w:rFonts w:ascii="Calibri" w:eastAsia="Times New Roman" w:hAnsi="Calibri" w:cs="Calibri"/>
                <w:b/>
                <w:szCs w:val="20"/>
              </w:rPr>
            </w:pPr>
            <w:r w:rsidRPr="00023672">
              <w:rPr>
                <w:rFonts w:ascii="Calibri" w:eastAsia="Times New Roman" w:hAnsi="Calibri" w:cs="Calibri"/>
                <w:b/>
                <w:szCs w:val="20"/>
              </w:rPr>
              <w:t xml:space="preserve">Perusopinnot  </w:t>
            </w:r>
            <w:r w:rsidRPr="00023672">
              <w:rPr>
                <w:rFonts w:ascii="Calibri" w:eastAsia="Times New Roman" w:hAnsi="Calibri" w:cs="Calibri"/>
                <w:b/>
                <w:szCs w:val="20"/>
              </w:rPr>
              <w:tab/>
            </w:r>
          </w:p>
        </w:tc>
        <w:tc>
          <w:tcPr>
            <w:tcW w:w="1134" w:type="dxa"/>
          </w:tcPr>
          <w:p w:rsidR="00A33C6C" w:rsidRPr="00023672" w:rsidRDefault="00A33C6C" w:rsidP="00BA4198">
            <w:pPr>
              <w:spacing w:before="240"/>
              <w:rPr>
                <w:rFonts w:ascii="Calibri" w:eastAsia="Times New Roman" w:hAnsi="Calibri" w:cs="Calibri"/>
                <w:szCs w:val="20"/>
              </w:rPr>
            </w:pPr>
            <w:r w:rsidRPr="00023672">
              <w:rPr>
                <w:rFonts w:ascii="Calibri" w:eastAsia="Times New Roman" w:hAnsi="Calibri" w:cs="Calibri"/>
                <w:szCs w:val="20"/>
              </w:rPr>
              <w:t>35 op</w:t>
            </w:r>
          </w:p>
        </w:tc>
        <w:tc>
          <w:tcPr>
            <w:tcW w:w="6551" w:type="dxa"/>
          </w:tcPr>
          <w:p w:rsidR="00A33C6C" w:rsidRPr="00023672" w:rsidRDefault="00A33C6C" w:rsidP="00BA4198">
            <w:pPr>
              <w:spacing w:before="240"/>
              <w:rPr>
                <w:rFonts w:ascii="Calibri" w:eastAsia="Times New Roman" w:hAnsi="Calibri" w:cs="Calibri"/>
                <w:szCs w:val="20"/>
              </w:rPr>
            </w:pPr>
            <w:r w:rsidRPr="00023672">
              <w:rPr>
                <w:rFonts w:ascii="Calibri" w:eastAsia="Times New Roman" w:hAnsi="Calibri" w:cs="Calibri"/>
                <w:szCs w:val="20"/>
              </w:rPr>
              <w:t xml:space="preserve"> Perusopinnoissa opiskelija perehtyy ammattikorkeakouluopiskeluun ja muodostaa yleiskuvan suuhygienistin ammatista ja siihen kuuluvista osaamisalueista. Perusopinnoissa opiskelija perehtyy tehtäväalueensa yleisiin teoreettisiin perusteisiin ja viestintään sekä hankkii asetuksessa vaadittavan kielitaidon.</w:t>
            </w:r>
          </w:p>
        </w:tc>
      </w:tr>
      <w:tr w:rsidR="00A33C6C" w:rsidRPr="00023672" w:rsidTr="00BA4198">
        <w:tc>
          <w:tcPr>
            <w:tcW w:w="2093" w:type="dxa"/>
          </w:tcPr>
          <w:p w:rsidR="00A33C6C" w:rsidRPr="00023672" w:rsidRDefault="00A33C6C" w:rsidP="00BA4198">
            <w:pPr>
              <w:spacing w:before="240"/>
              <w:rPr>
                <w:rFonts w:ascii="Calibri" w:eastAsia="Times New Roman" w:hAnsi="Calibri" w:cs="Calibri"/>
                <w:b/>
                <w:szCs w:val="20"/>
              </w:rPr>
            </w:pPr>
            <w:r w:rsidRPr="00023672">
              <w:rPr>
                <w:rFonts w:ascii="Calibri" w:eastAsia="Times New Roman" w:hAnsi="Calibri" w:cs="Calibri"/>
                <w:b/>
                <w:szCs w:val="20"/>
              </w:rPr>
              <w:t>Ammattiopinnot</w:t>
            </w:r>
          </w:p>
        </w:tc>
        <w:tc>
          <w:tcPr>
            <w:tcW w:w="1134" w:type="dxa"/>
          </w:tcPr>
          <w:p w:rsidR="00A33C6C" w:rsidRPr="00023672" w:rsidRDefault="00A33C6C" w:rsidP="00BA4198">
            <w:pPr>
              <w:rPr>
                <w:rFonts w:ascii="Calibri" w:eastAsia="Times New Roman" w:hAnsi="Calibri" w:cs="Calibri"/>
                <w:szCs w:val="20"/>
              </w:rPr>
            </w:pPr>
            <w:r w:rsidRPr="00023672">
              <w:rPr>
                <w:rFonts w:ascii="Calibri" w:eastAsia="Times New Roman" w:hAnsi="Calibri" w:cs="Calibri"/>
                <w:szCs w:val="20"/>
              </w:rPr>
              <w:t>68 op</w:t>
            </w:r>
          </w:p>
        </w:tc>
        <w:tc>
          <w:tcPr>
            <w:tcW w:w="6551" w:type="dxa"/>
          </w:tcPr>
          <w:p w:rsidR="00A33C6C" w:rsidRPr="00023672" w:rsidRDefault="00A33C6C" w:rsidP="00BA4198">
            <w:pPr>
              <w:spacing w:before="240"/>
              <w:rPr>
                <w:rFonts w:ascii="Calibri" w:eastAsia="Times New Roman" w:hAnsi="Calibri" w:cs="Calibri"/>
                <w:szCs w:val="20"/>
              </w:rPr>
            </w:pPr>
            <w:r w:rsidRPr="00023672">
              <w:rPr>
                <w:rFonts w:ascii="Calibri" w:eastAsia="Times New Roman" w:hAnsi="Calibri" w:cs="Calibri"/>
                <w:szCs w:val="20"/>
              </w:rPr>
              <w:t>Ammattiopinnoissa opiskelija perehtyy suuhygienistin tehtäväalueen keskeisiin ongelmakokonaisuuksiin ja sovelluksiin sekä niiden tieteellisiin perusteisiin, jotta hän kykenee valmistuttuaan työskentelemään itsenäisesti suun terveydenhoitotyön asiantuntijana, lähiesimiestehtävissä, kehitystehtävissä ja yrittäjänä.</w:t>
            </w:r>
          </w:p>
        </w:tc>
      </w:tr>
      <w:tr w:rsidR="00A33C6C" w:rsidRPr="00023672" w:rsidTr="00BA4198">
        <w:tc>
          <w:tcPr>
            <w:tcW w:w="2093" w:type="dxa"/>
          </w:tcPr>
          <w:p w:rsidR="00A33C6C" w:rsidRPr="00023672" w:rsidRDefault="00A33C6C" w:rsidP="00BA4198">
            <w:pPr>
              <w:spacing w:before="240"/>
              <w:rPr>
                <w:rFonts w:ascii="Calibri" w:eastAsia="Times New Roman" w:hAnsi="Calibri" w:cs="Calibri"/>
                <w:b/>
                <w:szCs w:val="20"/>
              </w:rPr>
            </w:pPr>
            <w:r w:rsidRPr="00023672">
              <w:rPr>
                <w:rFonts w:ascii="Calibri" w:eastAsia="Times New Roman" w:hAnsi="Calibri" w:cs="Calibri"/>
                <w:b/>
                <w:szCs w:val="20"/>
              </w:rPr>
              <w:t>Harjoittelu</w:t>
            </w:r>
          </w:p>
        </w:tc>
        <w:tc>
          <w:tcPr>
            <w:tcW w:w="1134" w:type="dxa"/>
          </w:tcPr>
          <w:p w:rsidR="00A33C6C" w:rsidRPr="00023672" w:rsidRDefault="00A33C6C" w:rsidP="00BA4198">
            <w:pPr>
              <w:rPr>
                <w:rFonts w:ascii="Calibri" w:eastAsia="Times New Roman" w:hAnsi="Calibri" w:cs="Calibri"/>
                <w:szCs w:val="20"/>
              </w:rPr>
            </w:pPr>
            <w:r w:rsidRPr="00023672">
              <w:rPr>
                <w:rFonts w:ascii="Calibri" w:eastAsia="Times New Roman" w:hAnsi="Calibri" w:cs="Calibri"/>
                <w:szCs w:val="20"/>
              </w:rPr>
              <w:t>72 op</w:t>
            </w:r>
          </w:p>
        </w:tc>
        <w:tc>
          <w:tcPr>
            <w:tcW w:w="6551" w:type="dxa"/>
          </w:tcPr>
          <w:p w:rsidR="00A33C6C" w:rsidRPr="00023672" w:rsidRDefault="00A33C6C" w:rsidP="00BA4198">
            <w:pPr>
              <w:autoSpaceDE w:val="0"/>
              <w:autoSpaceDN w:val="0"/>
              <w:spacing w:before="240"/>
              <w:rPr>
                <w:rFonts w:ascii="Calibri" w:eastAsia="Times New Roman" w:hAnsi="Calibri" w:cs="Calibri"/>
                <w:iCs/>
                <w:szCs w:val="20"/>
              </w:rPr>
            </w:pPr>
            <w:r w:rsidRPr="00023672">
              <w:rPr>
                <w:rFonts w:ascii="Calibri" w:eastAsia="Times New Roman" w:hAnsi="Calibri" w:cs="Calibri"/>
                <w:iCs/>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Harjoittelussa opiskelija vastaa</w:t>
            </w:r>
          </w:p>
          <w:p w:rsidR="00A33C6C" w:rsidRPr="00023672" w:rsidRDefault="00A33C6C" w:rsidP="00A33C6C">
            <w:pPr>
              <w:numPr>
                <w:ilvl w:val="0"/>
                <w:numId w:val="3"/>
              </w:numPr>
              <w:autoSpaceDE w:val="0"/>
              <w:autoSpaceDN w:val="0"/>
              <w:spacing w:before="240" w:after="0" w:line="240" w:lineRule="auto"/>
              <w:rPr>
                <w:rFonts w:ascii="Calibri" w:eastAsia="Times New Roman" w:hAnsi="Calibri" w:cs="Calibri"/>
                <w:iCs/>
                <w:szCs w:val="20"/>
              </w:rPr>
            </w:pPr>
            <w:r w:rsidRPr="00023672">
              <w:rPr>
                <w:rFonts w:ascii="Calibri" w:eastAsia="Times New Roman" w:hAnsi="Calibri" w:cs="Calibri"/>
                <w:iCs/>
                <w:szCs w:val="20"/>
              </w:rPr>
              <w:t>harjoittelupaikan hakemisesta ja harjoittelun tavoitteiden laatimisesta</w:t>
            </w:r>
          </w:p>
          <w:p w:rsidR="00A33C6C" w:rsidRPr="00023672" w:rsidRDefault="00A33C6C" w:rsidP="00A33C6C">
            <w:pPr>
              <w:numPr>
                <w:ilvl w:val="0"/>
                <w:numId w:val="3"/>
              </w:numPr>
              <w:autoSpaceDE w:val="0"/>
              <w:autoSpaceDN w:val="0"/>
              <w:spacing w:after="0" w:line="240" w:lineRule="auto"/>
              <w:rPr>
                <w:rFonts w:ascii="Calibri" w:eastAsia="Times New Roman" w:hAnsi="Calibri" w:cs="Calibri"/>
                <w:iCs/>
                <w:szCs w:val="20"/>
              </w:rPr>
            </w:pPr>
            <w:r w:rsidRPr="00023672">
              <w:rPr>
                <w:rFonts w:ascii="Calibri" w:eastAsia="Times New Roman" w:hAnsi="Calibri" w:cs="Calibri"/>
                <w:iCs/>
                <w:szCs w:val="20"/>
              </w:rPr>
              <w:t>harjoittelusta harjoittelusuunnitelman mukaisesti</w:t>
            </w:r>
          </w:p>
          <w:p w:rsidR="00A33C6C" w:rsidRPr="00023672" w:rsidRDefault="00A33C6C" w:rsidP="00A33C6C">
            <w:pPr>
              <w:numPr>
                <w:ilvl w:val="0"/>
                <w:numId w:val="3"/>
              </w:numPr>
              <w:autoSpaceDE w:val="0"/>
              <w:autoSpaceDN w:val="0"/>
              <w:spacing w:after="0" w:line="240" w:lineRule="auto"/>
              <w:rPr>
                <w:rFonts w:ascii="Calibri" w:eastAsia="Times New Roman" w:hAnsi="Calibri" w:cs="Calibri"/>
                <w:iCs/>
              </w:rPr>
            </w:pPr>
            <w:r w:rsidRPr="00023672">
              <w:rPr>
                <w:rFonts w:ascii="Calibri" w:eastAsia="Times New Roman" w:hAnsi="Calibri" w:cs="Calibri"/>
                <w:iCs/>
                <w:szCs w:val="20"/>
              </w:rPr>
              <w:t>harjoittelun raportoinnista.</w:t>
            </w:r>
          </w:p>
        </w:tc>
      </w:tr>
      <w:tr w:rsidR="00A33C6C" w:rsidRPr="00023672" w:rsidTr="00BA4198">
        <w:tc>
          <w:tcPr>
            <w:tcW w:w="2093" w:type="dxa"/>
          </w:tcPr>
          <w:p w:rsidR="00A33C6C" w:rsidRPr="00023672" w:rsidRDefault="00A33C6C" w:rsidP="00BA4198">
            <w:pPr>
              <w:spacing w:before="240"/>
              <w:rPr>
                <w:rFonts w:ascii="Calibri" w:eastAsia="Times New Roman" w:hAnsi="Calibri" w:cs="Calibri"/>
                <w:b/>
                <w:szCs w:val="20"/>
              </w:rPr>
            </w:pPr>
            <w:r w:rsidRPr="00023672">
              <w:rPr>
                <w:rFonts w:ascii="Calibri" w:eastAsia="Times New Roman" w:hAnsi="Calibri" w:cs="Calibri"/>
                <w:b/>
                <w:szCs w:val="20"/>
              </w:rPr>
              <w:t>Opinnäytetyö</w:t>
            </w:r>
          </w:p>
          <w:p w:rsidR="00A33C6C" w:rsidRPr="00023672" w:rsidRDefault="00A33C6C" w:rsidP="00BA4198">
            <w:pPr>
              <w:spacing w:before="240"/>
              <w:rPr>
                <w:rFonts w:ascii="Calibri" w:eastAsia="Times New Roman" w:hAnsi="Calibri" w:cs="Calibri"/>
                <w:szCs w:val="20"/>
              </w:rPr>
            </w:pPr>
          </w:p>
        </w:tc>
        <w:tc>
          <w:tcPr>
            <w:tcW w:w="1134" w:type="dxa"/>
          </w:tcPr>
          <w:p w:rsidR="00A33C6C" w:rsidRPr="00023672" w:rsidRDefault="00A33C6C" w:rsidP="00BA4198">
            <w:pPr>
              <w:spacing w:before="240"/>
              <w:rPr>
                <w:rFonts w:ascii="Calibri" w:eastAsia="Times New Roman" w:hAnsi="Calibri" w:cs="Calibri"/>
                <w:szCs w:val="20"/>
              </w:rPr>
            </w:pPr>
            <w:r w:rsidRPr="00023672">
              <w:rPr>
                <w:rFonts w:ascii="Calibri" w:eastAsia="Times New Roman" w:hAnsi="Calibri" w:cs="Calibri"/>
                <w:szCs w:val="20"/>
              </w:rPr>
              <w:t>15 op</w:t>
            </w:r>
          </w:p>
        </w:tc>
        <w:tc>
          <w:tcPr>
            <w:tcW w:w="6551" w:type="dxa"/>
          </w:tcPr>
          <w:p w:rsidR="00A33C6C" w:rsidRPr="00023672" w:rsidRDefault="00A33C6C" w:rsidP="00BA4198">
            <w:pPr>
              <w:spacing w:before="240" w:after="0"/>
              <w:rPr>
                <w:rFonts w:ascii="Calibri" w:eastAsia="Times New Roman" w:hAnsi="Calibri" w:cs="Calibri"/>
                <w:szCs w:val="20"/>
              </w:rPr>
            </w:pPr>
            <w:r w:rsidRPr="00023672">
              <w:rPr>
                <w:rFonts w:ascii="Calibri" w:eastAsia="Times New Roman" w:hAnsi="Calibri" w:cs="Calibri"/>
                <w:szCs w:val="20"/>
              </w:rPr>
              <w:t>Opinnäytetyö on opiskelijan työ- ja oppimisprosessi, jota asiantuntijat tukevat, ohjaavat ja arvioivat. Opinnäytetyön tekemisessä opiskelija vastaa</w:t>
            </w:r>
          </w:p>
          <w:p w:rsidR="00A33C6C" w:rsidRPr="00023672" w:rsidRDefault="00A33C6C" w:rsidP="00A33C6C">
            <w:pPr>
              <w:numPr>
                <w:ilvl w:val="0"/>
                <w:numId w:val="3"/>
              </w:numPr>
              <w:autoSpaceDE w:val="0"/>
              <w:autoSpaceDN w:val="0"/>
              <w:spacing w:after="0" w:line="240" w:lineRule="auto"/>
              <w:rPr>
                <w:rFonts w:ascii="Calibri" w:eastAsia="Times New Roman" w:hAnsi="Calibri" w:cs="Calibri"/>
                <w:iCs/>
                <w:szCs w:val="20"/>
              </w:rPr>
            </w:pPr>
            <w:r w:rsidRPr="00023672">
              <w:rPr>
                <w:rFonts w:ascii="Calibri" w:eastAsia="Times New Roman" w:hAnsi="Calibri" w:cs="Calibri"/>
                <w:iCs/>
                <w:szCs w:val="20"/>
              </w:rPr>
              <w:t>opinnäytetyöidean ja työelämäyhteyden hakemisesta</w:t>
            </w:r>
          </w:p>
          <w:p w:rsidR="00A33C6C" w:rsidRPr="00023672" w:rsidRDefault="00A33C6C" w:rsidP="00A33C6C">
            <w:pPr>
              <w:numPr>
                <w:ilvl w:val="0"/>
                <w:numId w:val="3"/>
              </w:numPr>
              <w:autoSpaceDE w:val="0"/>
              <w:autoSpaceDN w:val="0"/>
              <w:spacing w:after="0" w:line="240" w:lineRule="auto"/>
              <w:rPr>
                <w:rFonts w:ascii="Calibri" w:eastAsia="Times New Roman" w:hAnsi="Calibri" w:cs="Calibri"/>
                <w:iCs/>
                <w:szCs w:val="20"/>
              </w:rPr>
            </w:pPr>
            <w:r w:rsidRPr="00023672">
              <w:rPr>
                <w:rFonts w:ascii="Calibri" w:eastAsia="Times New Roman" w:hAnsi="Calibri" w:cs="Calibri"/>
                <w:iCs/>
                <w:szCs w:val="20"/>
              </w:rPr>
              <w:t>opinnäytetyön tehtäväalueeseen perehtymisestä ja tehtävän asettamisesta</w:t>
            </w:r>
          </w:p>
          <w:p w:rsidR="00A33C6C" w:rsidRPr="00023672" w:rsidRDefault="00A33C6C" w:rsidP="00A33C6C">
            <w:pPr>
              <w:numPr>
                <w:ilvl w:val="0"/>
                <w:numId w:val="3"/>
              </w:numPr>
              <w:autoSpaceDE w:val="0"/>
              <w:autoSpaceDN w:val="0"/>
              <w:spacing w:after="0" w:line="240" w:lineRule="auto"/>
              <w:rPr>
                <w:rFonts w:ascii="Calibri" w:eastAsia="Times New Roman" w:hAnsi="Calibri" w:cs="Calibri"/>
                <w:iCs/>
                <w:szCs w:val="20"/>
              </w:rPr>
            </w:pPr>
            <w:r w:rsidRPr="00023672">
              <w:rPr>
                <w:rFonts w:ascii="Calibri" w:eastAsia="Times New Roman" w:hAnsi="Calibri" w:cs="Calibri"/>
                <w:iCs/>
                <w:szCs w:val="20"/>
              </w:rPr>
              <w:t>asetetun tehtävän suorittamisesta</w:t>
            </w:r>
          </w:p>
          <w:p w:rsidR="00A33C6C" w:rsidRPr="00023672" w:rsidRDefault="00A33C6C" w:rsidP="00A33C6C">
            <w:pPr>
              <w:numPr>
                <w:ilvl w:val="0"/>
                <w:numId w:val="3"/>
              </w:numPr>
              <w:autoSpaceDE w:val="0"/>
              <w:autoSpaceDN w:val="0"/>
              <w:spacing w:after="0" w:line="240" w:lineRule="auto"/>
              <w:rPr>
                <w:rFonts w:ascii="Calibri" w:eastAsia="Times New Roman" w:hAnsi="Calibri" w:cs="Calibri"/>
                <w:iCs/>
                <w:szCs w:val="20"/>
              </w:rPr>
            </w:pPr>
            <w:r w:rsidRPr="00023672">
              <w:rPr>
                <w:rFonts w:ascii="Calibri" w:eastAsia="Times New Roman" w:hAnsi="Calibri" w:cs="Calibri"/>
                <w:iCs/>
                <w:szCs w:val="20"/>
              </w:rPr>
              <w:t>opinnäytetyön viimeistelystä ja tiedotusmateriaalin laatimisesta.</w:t>
            </w:r>
          </w:p>
          <w:p w:rsidR="00A33C6C" w:rsidRPr="00023672" w:rsidRDefault="00A33C6C" w:rsidP="00BA4198">
            <w:pPr>
              <w:spacing w:before="240"/>
              <w:rPr>
                <w:rFonts w:ascii="Calibri" w:eastAsia="Times New Roman" w:hAnsi="Calibri" w:cs="Calibri"/>
              </w:rPr>
            </w:pPr>
            <w:r w:rsidRPr="00023672">
              <w:rPr>
                <w:rFonts w:ascii="Calibri" w:eastAsia="Times New Roman" w:hAnsi="Calibri" w:cs="Calibri"/>
                <w:szCs w:val="20"/>
              </w:rPr>
              <w:t>Opinnäytetyö tarjoaa hyvän mahdollisuuden verkottua omalla alalla ja joustavan portin siirtyä työelämään.</w:t>
            </w:r>
            <w:r w:rsidRPr="00023672">
              <w:rPr>
                <w:rFonts w:ascii="Calibri" w:eastAsia="Times New Roman" w:hAnsi="Calibri" w:cs="Calibri"/>
              </w:rPr>
              <w:t xml:space="preserve"> </w:t>
            </w:r>
          </w:p>
        </w:tc>
      </w:tr>
      <w:tr w:rsidR="00A33C6C" w:rsidRPr="00023672" w:rsidTr="00BA4198">
        <w:tc>
          <w:tcPr>
            <w:tcW w:w="2093" w:type="dxa"/>
          </w:tcPr>
          <w:p w:rsidR="00A33C6C" w:rsidRPr="00023672" w:rsidRDefault="00A33C6C" w:rsidP="00BA4198">
            <w:pPr>
              <w:spacing w:before="240"/>
              <w:rPr>
                <w:rFonts w:ascii="Calibri" w:eastAsia="Times New Roman" w:hAnsi="Calibri" w:cs="Calibri"/>
                <w:b/>
                <w:szCs w:val="20"/>
              </w:rPr>
            </w:pPr>
            <w:r w:rsidRPr="00023672">
              <w:rPr>
                <w:rFonts w:ascii="Calibri" w:eastAsia="Times New Roman" w:hAnsi="Calibri" w:cs="Calibri"/>
                <w:b/>
                <w:szCs w:val="20"/>
              </w:rPr>
              <w:t>Valinnaiset opinnot</w:t>
            </w:r>
          </w:p>
          <w:p w:rsidR="00A33C6C" w:rsidRPr="00023672" w:rsidRDefault="00A33C6C" w:rsidP="00BA4198">
            <w:pPr>
              <w:spacing w:before="240"/>
              <w:rPr>
                <w:rFonts w:ascii="Calibri" w:eastAsia="Times New Roman" w:hAnsi="Calibri" w:cs="Calibri"/>
                <w:szCs w:val="20"/>
              </w:rPr>
            </w:pPr>
          </w:p>
        </w:tc>
        <w:tc>
          <w:tcPr>
            <w:tcW w:w="1134" w:type="dxa"/>
          </w:tcPr>
          <w:p w:rsidR="00A33C6C" w:rsidRPr="00023672" w:rsidRDefault="00A33C6C" w:rsidP="00BA4198">
            <w:pPr>
              <w:spacing w:before="240"/>
              <w:rPr>
                <w:rFonts w:ascii="Calibri" w:eastAsia="Times New Roman" w:hAnsi="Calibri" w:cs="Calibri"/>
                <w:szCs w:val="20"/>
              </w:rPr>
            </w:pPr>
            <w:r w:rsidRPr="00023672">
              <w:rPr>
                <w:rFonts w:ascii="Calibri" w:eastAsia="Times New Roman" w:hAnsi="Calibri" w:cs="Calibri"/>
                <w:szCs w:val="20"/>
              </w:rPr>
              <w:t>20 op</w:t>
            </w:r>
          </w:p>
        </w:tc>
        <w:tc>
          <w:tcPr>
            <w:tcW w:w="6551" w:type="dxa"/>
          </w:tcPr>
          <w:p w:rsidR="00A33C6C" w:rsidRPr="00023672" w:rsidRDefault="00A33C6C" w:rsidP="00BA4198">
            <w:pPr>
              <w:spacing w:before="240"/>
              <w:rPr>
                <w:rFonts w:ascii="Calibri" w:eastAsia="Times New Roman" w:hAnsi="Calibri" w:cs="Calibri"/>
                <w:color w:val="31A3B5"/>
                <w:szCs w:val="20"/>
              </w:rPr>
            </w:pPr>
            <w:r w:rsidRPr="00023672">
              <w:rPr>
                <w:rFonts w:ascii="Calibri" w:eastAsia="Times New Roman" w:hAnsi="Calibri" w:cs="Calibri"/>
                <w:szCs w:val="20"/>
              </w:rPr>
              <w:t>Valinnaiset opinnot tukevat asiantuntijuuden kehittymistä ja suuntautuvat opiskelijan kiinnostuksen mukaan. Savonian yhteinen opintotarjonta on käytettävissä. Muualta valittavien opintojen on oltava ammattikorkeakoulutasoa.</w:t>
            </w:r>
          </w:p>
        </w:tc>
      </w:tr>
      <w:tr w:rsidR="00A33C6C" w:rsidRPr="00023672" w:rsidTr="00BA4198">
        <w:tc>
          <w:tcPr>
            <w:tcW w:w="2093" w:type="dxa"/>
          </w:tcPr>
          <w:p w:rsidR="00A33C6C" w:rsidRPr="00023672" w:rsidRDefault="00A33C6C" w:rsidP="00BA4198">
            <w:pPr>
              <w:spacing w:before="240"/>
              <w:rPr>
                <w:rFonts w:ascii="Calibri" w:eastAsia="Times New Roman" w:hAnsi="Calibri" w:cs="Calibri"/>
                <w:b/>
                <w:szCs w:val="20"/>
              </w:rPr>
            </w:pPr>
            <w:r w:rsidRPr="00023672">
              <w:rPr>
                <w:rFonts w:ascii="Calibri" w:eastAsia="Times New Roman" w:hAnsi="Calibri" w:cs="Calibri"/>
                <w:b/>
                <w:szCs w:val="20"/>
              </w:rPr>
              <w:t>Yhteensä</w:t>
            </w:r>
          </w:p>
        </w:tc>
        <w:tc>
          <w:tcPr>
            <w:tcW w:w="1134" w:type="dxa"/>
          </w:tcPr>
          <w:p w:rsidR="00A33C6C" w:rsidRPr="00023672" w:rsidRDefault="00A33C6C" w:rsidP="00BA4198">
            <w:pPr>
              <w:spacing w:before="240"/>
              <w:rPr>
                <w:rFonts w:ascii="Calibri" w:eastAsia="Times New Roman" w:hAnsi="Calibri" w:cs="Calibri"/>
                <w:szCs w:val="20"/>
              </w:rPr>
            </w:pPr>
            <w:r w:rsidRPr="00023672">
              <w:rPr>
                <w:rFonts w:ascii="Calibri" w:eastAsia="Times New Roman" w:hAnsi="Calibri" w:cs="Calibri"/>
                <w:szCs w:val="20"/>
              </w:rPr>
              <w:t>210 op</w:t>
            </w:r>
          </w:p>
        </w:tc>
        <w:tc>
          <w:tcPr>
            <w:tcW w:w="6551" w:type="dxa"/>
          </w:tcPr>
          <w:p w:rsidR="00A33C6C" w:rsidRPr="00023672" w:rsidRDefault="00A33C6C" w:rsidP="00BA4198">
            <w:pPr>
              <w:spacing w:before="240"/>
              <w:rPr>
                <w:rFonts w:ascii="Calibri" w:eastAsia="Times New Roman" w:hAnsi="Calibri" w:cs="Calibri"/>
                <w:szCs w:val="20"/>
              </w:rPr>
            </w:pPr>
          </w:p>
        </w:tc>
      </w:tr>
    </w:tbl>
    <w:p w:rsidR="00A33C6C" w:rsidRDefault="00A33C6C"/>
    <w:p w:rsidR="00A33C6C" w:rsidRDefault="00A33C6C"/>
    <w:p w:rsidR="00A33C6C" w:rsidRDefault="00A33C6C"/>
    <w:p w:rsidR="00A33C6C" w:rsidRDefault="00A33C6C"/>
    <w:p w:rsidR="00A33C6C" w:rsidRDefault="00A33C6C"/>
    <w:p w:rsidR="00A33C6C" w:rsidRDefault="00A33C6C">
      <w:bookmarkStart w:id="0" w:name="_GoBack"/>
      <w:bookmarkEnd w:id="0"/>
    </w:p>
    <w:p w:rsidR="00A33C6C" w:rsidRDefault="00A33C6C">
      <w:r>
        <w:t xml:space="preserve">5. </w:t>
      </w:r>
    </w:p>
    <w:p w:rsidR="00A33C6C" w:rsidRDefault="00A33C6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319"/>
      </w:tblGrid>
      <w:tr w:rsidR="00A33C6C" w:rsidTr="00A33C6C">
        <w:tc>
          <w:tcPr>
            <w:tcW w:w="1204" w:type="dxa"/>
            <w:shd w:val="clear" w:color="auto" w:fill="4BACC6" w:themeFill="accent5"/>
          </w:tcPr>
          <w:p w:rsidR="00A33C6C" w:rsidRPr="00CC37BE" w:rsidRDefault="00A33C6C" w:rsidP="00BA4198">
            <w:pPr>
              <w:spacing w:before="240"/>
              <w:rPr>
                <w:rFonts w:cstheme="minorHAnsi"/>
                <w:b/>
                <w:color w:val="FFFFFF" w:themeColor="background1"/>
                <w:sz w:val="28"/>
              </w:rPr>
            </w:pPr>
          </w:p>
        </w:tc>
        <w:tc>
          <w:tcPr>
            <w:tcW w:w="4253" w:type="dxa"/>
            <w:shd w:val="clear" w:color="auto" w:fill="4BACC6" w:themeFill="accent5"/>
          </w:tcPr>
          <w:p w:rsidR="00A33C6C" w:rsidRPr="00CC37BE" w:rsidRDefault="00A33C6C" w:rsidP="00BA4198">
            <w:pPr>
              <w:spacing w:before="240" w:line="240" w:lineRule="auto"/>
              <w:rPr>
                <w:rFonts w:cstheme="minorHAnsi"/>
                <w:b/>
                <w:color w:val="FFFFFF" w:themeColor="background1"/>
                <w:sz w:val="28"/>
              </w:rPr>
            </w:pPr>
            <w:r w:rsidRPr="00CC37BE">
              <w:rPr>
                <w:rFonts w:cstheme="minorHAnsi"/>
                <w:b/>
                <w:color w:val="FFFFFF" w:themeColor="background1"/>
                <w:sz w:val="28"/>
              </w:rPr>
              <w:t xml:space="preserve"> Vuositeema ja alateemat</w:t>
            </w:r>
          </w:p>
        </w:tc>
        <w:tc>
          <w:tcPr>
            <w:tcW w:w="4319" w:type="dxa"/>
            <w:shd w:val="clear" w:color="auto" w:fill="4BACC6" w:themeFill="accent5"/>
          </w:tcPr>
          <w:p w:rsidR="00A33C6C" w:rsidRPr="00CC37BE" w:rsidRDefault="00A33C6C" w:rsidP="00BA4198">
            <w:pPr>
              <w:spacing w:before="240" w:line="240" w:lineRule="auto"/>
              <w:rPr>
                <w:rFonts w:cstheme="minorHAnsi"/>
                <w:b/>
                <w:color w:val="FFFFFF" w:themeColor="background1"/>
                <w:sz w:val="28"/>
              </w:rPr>
            </w:pPr>
            <w:r w:rsidRPr="00CC37BE">
              <w:rPr>
                <w:rFonts w:cstheme="minorHAnsi"/>
                <w:b/>
                <w:color w:val="FFFFFF" w:themeColor="background1"/>
                <w:sz w:val="28"/>
              </w:rPr>
              <w:t>Osaamistavoitteet</w:t>
            </w:r>
          </w:p>
        </w:tc>
      </w:tr>
      <w:tr w:rsidR="00A33C6C" w:rsidTr="00A33C6C">
        <w:tc>
          <w:tcPr>
            <w:tcW w:w="1204" w:type="dxa"/>
          </w:tcPr>
          <w:p w:rsidR="00A33C6C" w:rsidRPr="00CC37BE" w:rsidRDefault="00A33C6C" w:rsidP="00BA4198">
            <w:pPr>
              <w:spacing w:before="240"/>
              <w:rPr>
                <w:rFonts w:cstheme="minorHAnsi"/>
                <w:b/>
              </w:rPr>
            </w:pPr>
            <w:r w:rsidRPr="00CC37BE">
              <w:rPr>
                <w:rFonts w:cstheme="minorHAnsi"/>
                <w:b/>
              </w:rPr>
              <w:t>1. vuosi</w:t>
            </w:r>
          </w:p>
        </w:tc>
        <w:tc>
          <w:tcPr>
            <w:tcW w:w="4253" w:type="dxa"/>
          </w:tcPr>
          <w:p w:rsidR="00A33C6C" w:rsidRDefault="00A33C6C" w:rsidP="00BA4198">
            <w:pPr>
              <w:spacing w:before="240" w:line="240" w:lineRule="auto"/>
              <w:rPr>
                <w:rFonts w:cstheme="minorHAnsi"/>
                <w:b/>
                <w:i/>
              </w:rPr>
            </w:pPr>
            <w:r>
              <w:rPr>
                <w:rFonts w:cstheme="minorHAnsi"/>
                <w:b/>
                <w:i/>
              </w:rPr>
              <w:t>Ammattikuvan luominen</w:t>
            </w:r>
          </w:p>
          <w:p w:rsidR="00A33C6C" w:rsidRDefault="00A33C6C" w:rsidP="00BA4198">
            <w:pPr>
              <w:spacing w:before="240" w:line="240" w:lineRule="auto"/>
              <w:rPr>
                <w:rFonts w:cstheme="minorHAnsi"/>
                <w:i/>
              </w:rPr>
            </w:pPr>
            <w:r>
              <w:rPr>
                <w:rFonts w:cstheme="minorHAnsi"/>
                <w:i/>
              </w:rPr>
              <w:t>S</w:t>
            </w:r>
            <w:r w:rsidRPr="00520836">
              <w:rPr>
                <w:rFonts w:cstheme="minorHAnsi"/>
                <w:i/>
              </w:rPr>
              <w:t xml:space="preserve">uun terveydenhoitotyön </w:t>
            </w:r>
            <w:r>
              <w:rPr>
                <w:rFonts w:cstheme="minorHAnsi"/>
                <w:i/>
              </w:rPr>
              <w:t>tietoperusta (30 op)</w:t>
            </w:r>
          </w:p>
          <w:p w:rsidR="00A33C6C" w:rsidRPr="00520836" w:rsidRDefault="00A33C6C" w:rsidP="00BA4198">
            <w:pPr>
              <w:spacing w:before="240" w:line="240" w:lineRule="auto"/>
              <w:rPr>
                <w:rFonts w:cstheme="minorHAnsi"/>
                <w:i/>
              </w:rPr>
            </w:pPr>
            <w:r>
              <w:rPr>
                <w:rFonts w:cstheme="minorHAnsi"/>
                <w:i/>
              </w:rPr>
              <w:t>Suun terveyden edistämisen tietoperusta (30 op)</w:t>
            </w:r>
          </w:p>
        </w:tc>
        <w:tc>
          <w:tcPr>
            <w:tcW w:w="4319" w:type="dxa"/>
          </w:tcPr>
          <w:p w:rsidR="00A33C6C" w:rsidRPr="0048225C" w:rsidRDefault="00A33C6C" w:rsidP="00BA4198">
            <w:pPr>
              <w:spacing w:before="240" w:line="240" w:lineRule="auto"/>
              <w:rPr>
                <w:rFonts w:cstheme="minorHAnsi"/>
                <w:sz w:val="20"/>
                <w:szCs w:val="20"/>
              </w:rPr>
            </w:pPr>
            <w:r w:rsidRPr="0048225C">
              <w:rPr>
                <w:rFonts w:cstheme="minorHAnsi"/>
                <w:sz w:val="20"/>
                <w:szCs w:val="20"/>
              </w:rPr>
              <w:t>Opiskelija osaa tarkastella ihmistä ja suun terveydenhoitotyötä osana sosiaali-</w:t>
            </w:r>
            <w:r>
              <w:rPr>
                <w:rFonts w:cstheme="minorHAnsi"/>
                <w:sz w:val="20"/>
                <w:szCs w:val="20"/>
              </w:rPr>
              <w:t xml:space="preserve"> </w:t>
            </w:r>
            <w:r w:rsidRPr="0048225C">
              <w:rPr>
                <w:rFonts w:cstheme="minorHAnsi"/>
                <w:sz w:val="20"/>
                <w:szCs w:val="20"/>
              </w:rPr>
              <w:t xml:space="preserve">ja terveysalan ympäristöä. Opiskelija tietää perustiedot ihmisestä, suun terveydenhoitotyötä ohjaavat eettiset ohjeet, lainsäädännön, suun terveydenhoidon toiminnot, suun terveyteen sekä suun terveyden edistämiseen vaikuttavat tekijät. </w:t>
            </w:r>
          </w:p>
        </w:tc>
      </w:tr>
      <w:tr w:rsidR="00A33C6C" w:rsidTr="00A33C6C">
        <w:tc>
          <w:tcPr>
            <w:tcW w:w="1204" w:type="dxa"/>
          </w:tcPr>
          <w:p w:rsidR="00A33C6C" w:rsidRPr="00CC37BE" w:rsidRDefault="00A33C6C" w:rsidP="00BA4198">
            <w:pPr>
              <w:spacing w:before="240"/>
              <w:rPr>
                <w:rFonts w:cstheme="minorHAnsi"/>
                <w:b/>
              </w:rPr>
            </w:pPr>
            <w:r w:rsidRPr="00CC37BE">
              <w:rPr>
                <w:rFonts w:cstheme="minorHAnsi"/>
                <w:b/>
              </w:rPr>
              <w:t>2. vuosi</w:t>
            </w:r>
          </w:p>
        </w:tc>
        <w:tc>
          <w:tcPr>
            <w:tcW w:w="4253" w:type="dxa"/>
          </w:tcPr>
          <w:p w:rsidR="00A33C6C" w:rsidRDefault="00A33C6C" w:rsidP="00BA4198">
            <w:pPr>
              <w:spacing w:before="240" w:line="240" w:lineRule="auto"/>
              <w:rPr>
                <w:rFonts w:cstheme="minorHAnsi"/>
                <w:b/>
                <w:i/>
              </w:rPr>
            </w:pPr>
            <w:r>
              <w:rPr>
                <w:rFonts w:cstheme="minorHAnsi"/>
                <w:b/>
                <w:i/>
              </w:rPr>
              <w:t>Oman osaamisen kehittäminen</w:t>
            </w:r>
          </w:p>
          <w:p w:rsidR="00A33C6C" w:rsidRDefault="00A33C6C" w:rsidP="00BA4198">
            <w:pPr>
              <w:spacing w:before="240" w:line="240" w:lineRule="auto"/>
              <w:rPr>
                <w:rFonts w:cstheme="minorHAnsi"/>
                <w:i/>
              </w:rPr>
            </w:pPr>
            <w:r>
              <w:rPr>
                <w:rFonts w:cstheme="minorHAnsi"/>
                <w:i/>
              </w:rPr>
              <w:t>Kliininen osaaminen (30 op)</w:t>
            </w:r>
          </w:p>
          <w:p w:rsidR="00A33C6C" w:rsidRPr="004278D2" w:rsidRDefault="00A33C6C" w:rsidP="00BA4198">
            <w:pPr>
              <w:spacing w:before="240" w:line="240" w:lineRule="auto"/>
              <w:rPr>
                <w:rFonts w:cstheme="minorHAnsi"/>
                <w:i/>
              </w:rPr>
            </w:pPr>
            <w:r>
              <w:rPr>
                <w:rFonts w:cstheme="minorHAnsi"/>
                <w:i/>
              </w:rPr>
              <w:t>Asiakaslähtöinen suun terveydenhoitotyö (30 op)</w:t>
            </w:r>
          </w:p>
        </w:tc>
        <w:tc>
          <w:tcPr>
            <w:tcW w:w="4319" w:type="dxa"/>
          </w:tcPr>
          <w:p w:rsidR="00A33C6C" w:rsidRPr="0048225C" w:rsidRDefault="00A33C6C" w:rsidP="00BA4198">
            <w:pPr>
              <w:spacing w:before="240" w:line="240" w:lineRule="auto"/>
              <w:rPr>
                <w:rFonts w:cstheme="minorHAnsi"/>
                <w:sz w:val="20"/>
                <w:szCs w:val="20"/>
              </w:rPr>
            </w:pPr>
            <w:r w:rsidRPr="0048225C">
              <w:rPr>
                <w:rFonts w:cstheme="minorHAnsi"/>
                <w:sz w:val="20"/>
                <w:szCs w:val="20"/>
              </w:rPr>
              <w:t xml:space="preserve">Opiskelija osaa käyttää näyttöön perustuvaa tietoa terveyden edistämisestä ja </w:t>
            </w:r>
            <w:proofErr w:type="spellStart"/>
            <w:r w:rsidRPr="0048225C">
              <w:rPr>
                <w:rFonts w:cstheme="minorHAnsi"/>
                <w:sz w:val="20"/>
                <w:szCs w:val="20"/>
              </w:rPr>
              <w:t>kariologisesta</w:t>
            </w:r>
            <w:proofErr w:type="spellEnd"/>
            <w:r w:rsidRPr="0048225C">
              <w:rPr>
                <w:rFonts w:cstheme="minorHAnsi"/>
                <w:sz w:val="20"/>
                <w:szCs w:val="20"/>
              </w:rPr>
              <w:t xml:space="preserve"> ja </w:t>
            </w:r>
            <w:proofErr w:type="spellStart"/>
            <w:r w:rsidRPr="0048225C">
              <w:rPr>
                <w:rFonts w:cstheme="minorHAnsi"/>
                <w:sz w:val="20"/>
                <w:szCs w:val="20"/>
              </w:rPr>
              <w:t>parodontologisesta</w:t>
            </w:r>
            <w:proofErr w:type="spellEnd"/>
            <w:r w:rsidRPr="0048225C">
              <w:rPr>
                <w:rFonts w:cstheme="minorHAnsi"/>
                <w:sz w:val="20"/>
                <w:szCs w:val="20"/>
              </w:rPr>
              <w:t xml:space="preserve"> suun terveydenhoitotyöstä harjoittelussaan. Opiskelija osaa huomioida asiakkaan elämäntilanteen suun terveydenhoitotyön toiminnassaan</w:t>
            </w:r>
            <w:r w:rsidRPr="0048225C">
              <w:rPr>
                <w:sz w:val="20"/>
                <w:szCs w:val="20"/>
              </w:rPr>
              <w:t xml:space="preserve"> ja </w:t>
            </w:r>
            <w:r w:rsidRPr="0048225C">
              <w:rPr>
                <w:rFonts w:cstheme="minorHAnsi"/>
                <w:sz w:val="20"/>
                <w:szCs w:val="20"/>
              </w:rPr>
              <w:t>käyttää ennakoivia ja osallistavia suun terveyden edistämisen menetelmiä harjoittelussaan.</w:t>
            </w:r>
          </w:p>
        </w:tc>
      </w:tr>
      <w:tr w:rsidR="00A33C6C" w:rsidTr="00A33C6C">
        <w:tc>
          <w:tcPr>
            <w:tcW w:w="1204" w:type="dxa"/>
          </w:tcPr>
          <w:p w:rsidR="00A33C6C" w:rsidRPr="00CC37BE" w:rsidRDefault="00A33C6C" w:rsidP="00BA4198">
            <w:pPr>
              <w:spacing w:before="240"/>
              <w:rPr>
                <w:rFonts w:cstheme="minorHAnsi"/>
                <w:b/>
              </w:rPr>
            </w:pPr>
            <w:r w:rsidRPr="00CC37BE">
              <w:rPr>
                <w:rFonts w:cstheme="minorHAnsi"/>
                <w:b/>
              </w:rPr>
              <w:t xml:space="preserve">3. vuosi </w:t>
            </w:r>
          </w:p>
        </w:tc>
        <w:tc>
          <w:tcPr>
            <w:tcW w:w="4253" w:type="dxa"/>
          </w:tcPr>
          <w:p w:rsidR="00A33C6C" w:rsidRDefault="00A33C6C" w:rsidP="00BA4198">
            <w:pPr>
              <w:spacing w:before="240" w:line="240" w:lineRule="auto"/>
              <w:rPr>
                <w:rFonts w:cstheme="minorHAnsi"/>
                <w:b/>
                <w:i/>
              </w:rPr>
            </w:pPr>
            <w:r>
              <w:rPr>
                <w:rFonts w:cstheme="minorHAnsi"/>
                <w:b/>
                <w:i/>
              </w:rPr>
              <w:t>Oman</w:t>
            </w:r>
            <w:r w:rsidRPr="00BE06AC">
              <w:rPr>
                <w:rFonts w:cstheme="minorHAnsi"/>
                <w:b/>
                <w:i/>
              </w:rPr>
              <w:t xml:space="preserve"> </w:t>
            </w:r>
            <w:r>
              <w:rPr>
                <w:rFonts w:cstheme="minorHAnsi"/>
                <w:b/>
                <w:i/>
              </w:rPr>
              <w:t>osaamisen syventäminen</w:t>
            </w:r>
          </w:p>
          <w:p w:rsidR="00A33C6C" w:rsidRDefault="00A33C6C" w:rsidP="00BA4198">
            <w:pPr>
              <w:spacing w:before="240" w:line="240" w:lineRule="auto"/>
              <w:rPr>
                <w:rFonts w:cstheme="minorHAnsi"/>
                <w:i/>
              </w:rPr>
            </w:pPr>
            <w:r>
              <w:rPr>
                <w:rFonts w:cstheme="minorHAnsi"/>
                <w:i/>
              </w:rPr>
              <w:t>P</w:t>
            </w:r>
            <w:r w:rsidRPr="004278D2">
              <w:rPr>
                <w:rFonts w:cstheme="minorHAnsi"/>
                <w:i/>
              </w:rPr>
              <w:t>erheen suun terveyden</w:t>
            </w:r>
            <w:r>
              <w:rPr>
                <w:rFonts w:cstheme="minorHAnsi"/>
                <w:i/>
              </w:rPr>
              <w:t>hoitotyö (30 op)</w:t>
            </w:r>
          </w:p>
          <w:p w:rsidR="00A33C6C" w:rsidRPr="004278D2" w:rsidRDefault="00A33C6C" w:rsidP="00BA4198">
            <w:pPr>
              <w:spacing w:before="240" w:line="240" w:lineRule="auto"/>
              <w:rPr>
                <w:rFonts w:cstheme="minorHAnsi"/>
                <w:i/>
              </w:rPr>
            </w:pPr>
            <w:r w:rsidRPr="002E2FBE">
              <w:rPr>
                <w:rFonts w:cstheme="minorHAnsi"/>
                <w:i/>
              </w:rPr>
              <w:t>Suun terveydenhoito</w:t>
            </w:r>
            <w:r>
              <w:rPr>
                <w:rFonts w:cstheme="minorHAnsi"/>
                <w:i/>
              </w:rPr>
              <w:t>työ</w:t>
            </w:r>
            <w:r w:rsidRPr="002E2FBE">
              <w:rPr>
                <w:rFonts w:cstheme="minorHAnsi"/>
                <w:i/>
              </w:rPr>
              <w:t xml:space="preserve"> </w:t>
            </w:r>
            <w:r>
              <w:rPr>
                <w:rFonts w:cstheme="minorHAnsi"/>
                <w:i/>
              </w:rPr>
              <w:t xml:space="preserve">erilaisissa </w:t>
            </w:r>
            <w:r w:rsidRPr="002E2FBE">
              <w:rPr>
                <w:rFonts w:cstheme="minorHAnsi"/>
                <w:i/>
              </w:rPr>
              <w:t xml:space="preserve">yhteisöissä </w:t>
            </w:r>
            <w:r>
              <w:rPr>
                <w:rFonts w:cstheme="minorHAnsi"/>
                <w:i/>
              </w:rPr>
              <w:t>(30 op)</w:t>
            </w:r>
          </w:p>
        </w:tc>
        <w:tc>
          <w:tcPr>
            <w:tcW w:w="4319" w:type="dxa"/>
          </w:tcPr>
          <w:p w:rsidR="00A33C6C" w:rsidRPr="0048225C" w:rsidRDefault="00A33C6C" w:rsidP="00BA4198">
            <w:pPr>
              <w:spacing w:before="240" w:line="240" w:lineRule="auto"/>
              <w:rPr>
                <w:rFonts w:cstheme="minorHAnsi"/>
                <w:sz w:val="20"/>
                <w:szCs w:val="20"/>
              </w:rPr>
            </w:pPr>
            <w:r w:rsidRPr="0048225C">
              <w:rPr>
                <w:rFonts w:cstheme="minorHAnsi"/>
                <w:sz w:val="20"/>
                <w:szCs w:val="20"/>
              </w:rPr>
              <w:t>Opiskelija osaa soveltaa ja analysoida tietoaan perheen suun terveyteen vaikuttavista tekijöistä ja tarpeista. Opiskelija osaa toimia oikomishoidon työryhmässä ja neuvolan ja kouluterveydenhuollossa suun terveydenhoidon asiantuntijana.. Opiskelija osaa toimia suun terveydenhoidon asiantuntijana eri yhteisöissä ja kehittää yhteisön suun terveyttä edistävää toimintaa. Opiskelija osaa soveltaa tutkimus- ja kehittämistoimintaosaamistaan suunnitellessaan opinnäytetyötä.</w:t>
            </w:r>
          </w:p>
        </w:tc>
      </w:tr>
      <w:tr w:rsidR="00A33C6C" w:rsidTr="00A33C6C">
        <w:tc>
          <w:tcPr>
            <w:tcW w:w="1204" w:type="dxa"/>
          </w:tcPr>
          <w:p w:rsidR="00A33C6C" w:rsidRPr="00CC37BE" w:rsidRDefault="00A33C6C" w:rsidP="00BA4198">
            <w:pPr>
              <w:spacing w:before="240"/>
              <w:rPr>
                <w:rFonts w:cstheme="minorHAnsi"/>
                <w:b/>
              </w:rPr>
            </w:pPr>
            <w:r w:rsidRPr="00CC37BE">
              <w:rPr>
                <w:rFonts w:cstheme="minorHAnsi"/>
                <w:b/>
              </w:rPr>
              <w:t>4. vuosi</w:t>
            </w:r>
          </w:p>
        </w:tc>
        <w:tc>
          <w:tcPr>
            <w:tcW w:w="4253" w:type="dxa"/>
          </w:tcPr>
          <w:p w:rsidR="00A33C6C" w:rsidRDefault="00A33C6C" w:rsidP="00BA4198">
            <w:pPr>
              <w:spacing w:before="240" w:line="240" w:lineRule="auto"/>
              <w:rPr>
                <w:rFonts w:cstheme="minorHAnsi"/>
                <w:b/>
                <w:i/>
              </w:rPr>
            </w:pPr>
            <w:r>
              <w:rPr>
                <w:rFonts w:cstheme="minorHAnsi"/>
                <w:b/>
                <w:i/>
              </w:rPr>
              <w:t>Osaamisen soveltaminen</w:t>
            </w:r>
          </w:p>
          <w:p w:rsidR="00A33C6C" w:rsidRPr="002E2FBE" w:rsidRDefault="00A33C6C" w:rsidP="00BA4198">
            <w:pPr>
              <w:spacing w:before="240" w:line="240" w:lineRule="auto"/>
              <w:rPr>
                <w:rFonts w:cstheme="minorHAnsi"/>
                <w:i/>
              </w:rPr>
            </w:pPr>
            <w:r w:rsidRPr="004103AA">
              <w:rPr>
                <w:rFonts w:cstheme="minorHAnsi"/>
                <w:i/>
              </w:rPr>
              <w:t xml:space="preserve">Suun terveydenhoitotyön toiminnan arviointi ja soveltaminen </w:t>
            </w:r>
            <w:r w:rsidRPr="002E2FBE">
              <w:rPr>
                <w:rFonts w:cstheme="minorHAnsi"/>
                <w:i/>
              </w:rPr>
              <w:t>(30 op)</w:t>
            </w:r>
          </w:p>
        </w:tc>
        <w:tc>
          <w:tcPr>
            <w:tcW w:w="4319" w:type="dxa"/>
          </w:tcPr>
          <w:p w:rsidR="00A33C6C" w:rsidRPr="0048225C" w:rsidRDefault="00A33C6C" w:rsidP="00BA4198">
            <w:pPr>
              <w:spacing w:before="240" w:line="240" w:lineRule="auto"/>
              <w:rPr>
                <w:rFonts w:cstheme="minorHAnsi"/>
                <w:sz w:val="20"/>
                <w:szCs w:val="20"/>
              </w:rPr>
            </w:pPr>
            <w:r w:rsidRPr="0048225C">
              <w:rPr>
                <w:rFonts w:cstheme="minorHAnsi"/>
                <w:sz w:val="20"/>
                <w:szCs w:val="20"/>
              </w:rPr>
              <w:t>Opiskelija osaa arvioida suun terveydenhoidon tarpeita erilaisissa toimintaympäristöissä, kehittää palveluja moniammatillisessa yhteistyössä ja kykenee itsenäiseen työskentelyyn suun terveydenhoidon asiantuntijana. Opiskelija osaa toteuttaa tutkimus- ja kehittämishankkeen opinnäytetyönään.</w:t>
            </w:r>
          </w:p>
        </w:tc>
      </w:tr>
    </w:tbl>
    <w:p w:rsidR="00A33C6C" w:rsidRDefault="00A33C6C"/>
    <w:sectPr w:rsidR="00A33C6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2"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F3"/>
    <w:rsid w:val="004670D2"/>
    <w:rsid w:val="00631EFB"/>
    <w:rsid w:val="006B23F3"/>
    <w:rsid w:val="00A33C6C"/>
    <w:rsid w:val="00C879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0CED4-A039-4885-B666-389BC9D9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B23F3"/>
    <w:rPr>
      <w:rFonts w:eastAsiaTheme="minorEastAsia"/>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670D2"/>
    <w:pPr>
      <w:ind w:left="720"/>
      <w:contextualSpacing/>
    </w:pPr>
  </w:style>
  <w:style w:type="paragraph" w:customStyle="1" w:styleId="Default">
    <w:name w:val="Default"/>
    <w:rsid w:val="004670D2"/>
    <w:pPr>
      <w:autoSpaceDE w:val="0"/>
      <w:autoSpaceDN w:val="0"/>
      <w:adjustRightInd w:val="0"/>
      <w:spacing w:after="0" w:line="240" w:lineRule="auto"/>
    </w:pPr>
    <w:rPr>
      <w:rFonts w:ascii="Calibri" w:eastAsia="Calibri" w:hAnsi="Calibri" w:cs="Calibri"/>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1017</Words>
  <Characters>8238</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Kaarina Sirviö</dc:creator>
  <cp:lastModifiedBy>Marja Kopeli</cp:lastModifiedBy>
  <cp:revision>3</cp:revision>
  <dcterms:created xsi:type="dcterms:W3CDTF">2015-12-22T07:14:00Z</dcterms:created>
  <dcterms:modified xsi:type="dcterms:W3CDTF">2015-12-22T07:22:00Z</dcterms:modified>
</cp:coreProperties>
</file>