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270A7" w:rsidRPr="0040062A" w:rsidTr="007F328E">
        <w:tc>
          <w:tcPr>
            <w:tcW w:w="2093" w:type="dxa"/>
            <w:shd w:val="clear" w:color="auto" w:fill="31A3B5"/>
          </w:tcPr>
          <w:p w:rsidR="00C270A7" w:rsidRPr="0040062A" w:rsidRDefault="00C270A7" w:rsidP="007F328E">
            <w:pPr>
              <w:rPr>
                <w:rFonts w:ascii="Tahoma" w:hAnsi="Tahoma" w:cs="Tahoma"/>
                <w:b/>
                <w:color w:val="FFFFFF"/>
                <w:sz w:val="28"/>
                <w:szCs w:val="20"/>
              </w:rPr>
            </w:pPr>
            <w:r w:rsidRPr="0040062A">
              <w:rPr>
                <w:rFonts w:ascii="Tahoma" w:hAnsi="Tahoma" w:cs="Tahoma"/>
                <w:b/>
                <w:color w:val="FFFFFF"/>
                <w:sz w:val="28"/>
                <w:szCs w:val="20"/>
              </w:rPr>
              <w:t>Opintojen rakenne</w:t>
            </w:r>
          </w:p>
        </w:tc>
        <w:tc>
          <w:tcPr>
            <w:tcW w:w="1134" w:type="dxa"/>
            <w:shd w:val="clear" w:color="auto" w:fill="31A3B5"/>
          </w:tcPr>
          <w:p w:rsidR="00C270A7" w:rsidRPr="0040062A" w:rsidRDefault="00C270A7" w:rsidP="007F328E">
            <w:pPr>
              <w:rPr>
                <w:rFonts w:ascii="Tahoma" w:hAnsi="Tahoma" w:cs="Tahoma"/>
                <w:b/>
                <w:color w:val="FFFFFF"/>
                <w:sz w:val="28"/>
                <w:szCs w:val="20"/>
              </w:rPr>
            </w:pPr>
            <w:r w:rsidRPr="0040062A">
              <w:rPr>
                <w:rFonts w:ascii="Tahoma" w:hAnsi="Tahoma" w:cs="Tahoma"/>
                <w:b/>
                <w:color w:val="FFFFFF"/>
                <w:sz w:val="28"/>
                <w:szCs w:val="20"/>
              </w:rPr>
              <w:t>Laa</w:t>
            </w:r>
            <w:r w:rsidR="0040062A">
              <w:rPr>
                <w:rFonts w:ascii="Tahoma" w:hAnsi="Tahoma" w:cs="Tahoma"/>
                <w:b/>
                <w:color w:val="FFFFFF"/>
                <w:sz w:val="28"/>
                <w:szCs w:val="20"/>
              </w:rPr>
              <w:t>-</w:t>
            </w:r>
            <w:bookmarkStart w:id="0" w:name="_GoBack"/>
            <w:bookmarkEnd w:id="0"/>
            <w:r w:rsidRPr="0040062A">
              <w:rPr>
                <w:rFonts w:ascii="Tahoma" w:hAnsi="Tahoma" w:cs="Tahoma"/>
                <w:b/>
                <w:color w:val="FFFFFF"/>
                <w:sz w:val="28"/>
                <w:szCs w:val="20"/>
              </w:rPr>
              <w:t xml:space="preserve">juus </w:t>
            </w:r>
          </w:p>
        </w:tc>
        <w:tc>
          <w:tcPr>
            <w:tcW w:w="6551" w:type="dxa"/>
            <w:shd w:val="clear" w:color="auto" w:fill="31A3B5"/>
          </w:tcPr>
          <w:p w:rsidR="00C270A7" w:rsidRPr="0040062A" w:rsidRDefault="00C270A7" w:rsidP="007F328E">
            <w:pPr>
              <w:rPr>
                <w:rFonts w:ascii="Tahoma" w:hAnsi="Tahoma" w:cs="Tahoma"/>
                <w:b/>
                <w:color w:val="FFFFFF"/>
                <w:sz w:val="28"/>
                <w:szCs w:val="20"/>
              </w:rPr>
            </w:pPr>
            <w:r w:rsidRPr="0040062A">
              <w:rPr>
                <w:rFonts w:ascii="Tahoma" w:hAnsi="Tahoma" w:cs="Tahoma"/>
                <w:b/>
                <w:color w:val="FFFFFF"/>
                <w:sz w:val="28"/>
                <w:szCs w:val="20"/>
              </w:rPr>
              <w:t>Luonnehdinta opinnoista lyhyesti</w:t>
            </w:r>
          </w:p>
        </w:tc>
      </w:tr>
      <w:tr w:rsidR="00C270A7" w:rsidRPr="0040062A" w:rsidTr="007F328E">
        <w:tc>
          <w:tcPr>
            <w:tcW w:w="2093" w:type="dxa"/>
          </w:tcPr>
          <w:p w:rsidR="00C270A7" w:rsidRPr="0040062A" w:rsidRDefault="00C270A7" w:rsidP="007F328E">
            <w:pPr>
              <w:rPr>
                <w:rFonts w:ascii="Tahoma" w:hAnsi="Tahoma" w:cs="Tahoma"/>
                <w:b/>
                <w:szCs w:val="20"/>
              </w:rPr>
            </w:pPr>
            <w:r w:rsidRPr="0040062A">
              <w:rPr>
                <w:rFonts w:ascii="Tahoma" w:hAnsi="Tahoma" w:cs="Tahoma"/>
                <w:b/>
                <w:szCs w:val="20"/>
              </w:rPr>
              <w:t xml:space="preserve">Perusopinnot  </w:t>
            </w:r>
            <w:r w:rsidRPr="0040062A">
              <w:rPr>
                <w:rFonts w:ascii="Tahoma" w:hAnsi="Tahoma" w:cs="Tahoma"/>
                <w:b/>
                <w:szCs w:val="20"/>
              </w:rPr>
              <w:tab/>
            </w:r>
          </w:p>
        </w:tc>
        <w:tc>
          <w:tcPr>
            <w:tcW w:w="1134" w:type="dxa"/>
          </w:tcPr>
          <w:p w:rsidR="00C270A7" w:rsidRPr="0040062A" w:rsidRDefault="00C270A7" w:rsidP="007F328E">
            <w:pPr>
              <w:rPr>
                <w:rFonts w:ascii="Tahoma" w:hAnsi="Tahoma" w:cs="Tahoma"/>
                <w:szCs w:val="20"/>
              </w:rPr>
            </w:pPr>
            <w:r w:rsidRPr="0040062A">
              <w:rPr>
                <w:rFonts w:ascii="Tahoma" w:hAnsi="Tahoma" w:cs="Tahoma"/>
                <w:szCs w:val="20"/>
              </w:rPr>
              <w:t>30 op</w:t>
            </w:r>
          </w:p>
        </w:tc>
        <w:tc>
          <w:tcPr>
            <w:tcW w:w="6551" w:type="dxa"/>
          </w:tcPr>
          <w:p w:rsidR="00C270A7" w:rsidRPr="0040062A" w:rsidRDefault="00C270A7" w:rsidP="007F328E">
            <w:pPr>
              <w:rPr>
                <w:rFonts w:ascii="Tahoma" w:hAnsi="Tahoma" w:cs="Tahoma"/>
                <w:szCs w:val="20"/>
              </w:rPr>
            </w:pPr>
            <w:r w:rsidRPr="0040062A">
              <w:rPr>
                <w:rFonts w:ascii="Tahoma" w:hAnsi="Tahoma" w:cs="Tahoma"/>
                <w:szCs w:val="20"/>
              </w:rPr>
              <w:t xml:space="preserve">Perusopinnoissa opiskelija perehtyy ammattikorkeakouluopiskeluun, koulutuksen tavoitteisiin ja sisältöön, hankkii perustiedot oman koulutusohjelmansa alalta sekä kehittää yleisiä viestintä- ja kommunikaatiotaitojaan. Perusopinnot luovat perustan ammatilliselle kasvulle, vastuulliselle työskentelylle, elinikäiselle oppimiselle sekä kieli- ja viestintätaitojen kehittymiselle. </w:t>
            </w:r>
          </w:p>
        </w:tc>
      </w:tr>
      <w:tr w:rsidR="00C270A7" w:rsidRPr="0040062A" w:rsidTr="007F328E">
        <w:tc>
          <w:tcPr>
            <w:tcW w:w="2093" w:type="dxa"/>
          </w:tcPr>
          <w:p w:rsidR="00C270A7" w:rsidRPr="0040062A" w:rsidRDefault="00C270A7" w:rsidP="007F328E">
            <w:pPr>
              <w:rPr>
                <w:rFonts w:ascii="Tahoma" w:hAnsi="Tahoma" w:cs="Tahoma"/>
                <w:b/>
                <w:szCs w:val="20"/>
              </w:rPr>
            </w:pPr>
            <w:r w:rsidRPr="0040062A">
              <w:rPr>
                <w:rFonts w:ascii="Tahoma" w:hAnsi="Tahoma" w:cs="Tahoma"/>
                <w:b/>
                <w:szCs w:val="20"/>
              </w:rPr>
              <w:t>Ammattiopinnot</w:t>
            </w:r>
          </w:p>
        </w:tc>
        <w:tc>
          <w:tcPr>
            <w:tcW w:w="1134" w:type="dxa"/>
          </w:tcPr>
          <w:p w:rsidR="00C270A7" w:rsidRPr="0040062A" w:rsidRDefault="00C270A7" w:rsidP="007F328E">
            <w:pPr>
              <w:spacing w:line="240" w:lineRule="auto"/>
              <w:rPr>
                <w:rFonts w:ascii="Tahoma" w:hAnsi="Tahoma" w:cs="Tahoma"/>
              </w:rPr>
            </w:pPr>
            <w:r w:rsidRPr="0040062A">
              <w:rPr>
                <w:rFonts w:ascii="Tahoma" w:hAnsi="Tahoma" w:cs="Tahoma"/>
              </w:rPr>
              <w:t>80 op</w:t>
            </w:r>
          </w:p>
        </w:tc>
        <w:tc>
          <w:tcPr>
            <w:tcW w:w="6551" w:type="dxa"/>
          </w:tcPr>
          <w:p w:rsidR="00C270A7" w:rsidRPr="0040062A" w:rsidRDefault="00C270A7" w:rsidP="007F328E">
            <w:pPr>
              <w:rPr>
                <w:rFonts w:ascii="Tahoma" w:hAnsi="Tahoma" w:cs="Tahoma"/>
                <w:szCs w:val="20"/>
              </w:rPr>
            </w:pPr>
            <w:r w:rsidRPr="0040062A">
              <w:rPr>
                <w:rFonts w:ascii="Tahoma" w:hAnsi="Tahoma" w:cs="Tahoma"/>
                <w:szCs w:val="20"/>
              </w:rPr>
              <w:t>Ammattiopinnoissa opiskelija perehtyy laaja-alaisesti radiografia- ja sädehoitotyön teoreettisiin perusteisiin ja lääketieteellisen säteilyn turvalliseen käyttöön. Opiskelija hankkii radiografia-ja sädehoitotyön  osa-alueilla  tarvittavan osaamisen ja perusvalmiudet ammatinharjoittamiseen ja alan asiantuntijatehtäviin. Opinnot sisältävät teoreettista opiskelua, simulaatioharjoittelua ja harjoittelua ammattikäytännössä. Tutkintoon voidaan sisällyttää ulkomailla suoritettuja opintoja.</w:t>
            </w:r>
          </w:p>
        </w:tc>
      </w:tr>
      <w:tr w:rsidR="00C270A7" w:rsidRPr="0040062A" w:rsidTr="007F328E">
        <w:tc>
          <w:tcPr>
            <w:tcW w:w="2093" w:type="dxa"/>
          </w:tcPr>
          <w:p w:rsidR="00C270A7" w:rsidRPr="0040062A" w:rsidRDefault="00C270A7" w:rsidP="007F328E">
            <w:pPr>
              <w:rPr>
                <w:rFonts w:ascii="Tahoma" w:hAnsi="Tahoma" w:cs="Tahoma"/>
                <w:b/>
                <w:szCs w:val="20"/>
              </w:rPr>
            </w:pPr>
            <w:r w:rsidRPr="0040062A">
              <w:rPr>
                <w:rFonts w:ascii="Tahoma" w:hAnsi="Tahoma" w:cs="Tahoma"/>
                <w:b/>
                <w:szCs w:val="20"/>
              </w:rPr>
              <w:t>Harjoittelu</w:t>
            </w:r>
          </w:p>
        </w:tc>
        <w:tc>
          <w:tcPr>
            <w:tcW w:w="1134" w:type="dxa"/>
          </w:tcPr>
          <w:p w:rsidR="00C270A7" w:rsidRPr="0040062A" w:rsidRDefault="00C270A7" w:rsidP="007F328E">
            <w:pPr>
              <w:rPr>
                <w:rFonts w:ascii="Tahoma" w:hAnsi="Tahoma" w:cs="Tahoma"/>
              </w:rPr>
            </w:pPr>
            <w:r w:rsidRPr="0040062A">
              <w:rPr>
                <w:rFonts w:ascii="Tahoma" w:hAnsi="Tahoma" w:cs="Tahoma"/>
              </w:rPr>
              <w:t>55 op</w:t>
            </w:r>
          </w:p>
        </w:tc>
        <w:tc>
          <w:tcPr>
            <w:tcW w:w="6551" w:type="dxa"/>
          </w:tcPr>
          <w:p w:rsidR="00C270A7" w:rsidRPr="0040062A" w:rsidRDefault="00C270A7" w:rsidP="007F328E">
            <w:pPr>
              <w:autoSpaceDE w:val="0"/>
              <w:autoSpaceDN w:val="0"/>
              <w:rPr>
                <w:rFonts w:ascii="Tahoma" w:hAnsi="Tahoma" w:cs="Tahoma"/>
                <w:iCs/>
              </w:rPr>
            </w:pPr>
            <w:r w:rsidRPr="0040062A">
              <w:rPr>
                <w:rFonts w:ascii="Tahoma" w:hAnsi="Tahoma" w:cs="Tahoma"/>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270A7" w:rsidRPr="0040062A" w:rsidTr="007F328E">
        <w:tc>
          <w:tcPr>
            <w:tcW w:w="2093" w:type="dxa"/>
          </w:tcPr>
          <w:p w:rsidR="00C270A7" w:rsidRPr="0040062A" w:rsidRDefault="00C270A7" w:rsidP="007F328E">
            <w:pPr>
              <w:rPr>
                <w:rFonts w:ascii="Tahoma" w:hAnsi="Tahoma" w:cs="Tahoma"/>
                <w:b/>
                <w:szCs w:val="20"/>
              </w:rPr>
            </w:pPr>
            <w:r w:rsidRPr="0040062A">
              <w:rPr>
                <w:rFonts w:ascii="Tahoma" w:hAnsi="Tahoma" w:cs="Tahoma"/>
                <w:b/>
                <w:szCs w:val="20"/>
              </w:rPr>
              <w:t>Opinnäytetyö</w:t>
            </w:r>
          </w:p>
          <w:p w:rsidR="00C270A7" w:rsidRPr="0040062A" w:rsidRDefault="00C270A7" w:rsidP="007F328E">
            <w:pPr>
              <w:rPr>
                <w:rFonts w:ascii="Tahoma" w:hAnsi="Tahoma" w:cs="Tahoma"/>
                <w:szCs w:val="20"/>
              </w:rPr>
            </w:pPr>
          </w:p>
        </w:tc>
        <w:tc>
          <w:tcPr>
            <w:tcW w:w="1134" w:type="dxa"/>
          </w:tcPr>
          <w:p w:rsidR="00C270A7" w:rsidRPr="0040062A" w:rsidRDefault="00C270A7" w:rsidP="007F328E">
            <w:pPr>
              <w:rPr>
                <w:rFonts w:ascii="Tahoma" w:hAnsi="Tahoma" w:cs="Tahoma"/>
                <w:szCs w:val="20"/>
              </w:rPr>
            </w:pPr>
            <w:r w:rsidRPr="0040062A">
              <w:rPr>
                <w:rFonts w:ascii="Tahoma" w:hAnsi="Tahoma" w:cs="Tahoma"/>
                <w:szCs w:val="20"/>
              </w:rPr>
              <w:t>15 op</w:t>
            </w:r>
          </w:p>
        </w:tc>
        <w:tc>
          <w:tcPr>
            <w:tcW w:w="6551" w:type="dxa"/>
          </w:tcPr>
          <w:p w:rsidR="00C270A7" w:rsidRPr="0040062A" w:rsidRDefault="00C270A7" w:rsidP="0040062A">
            <w:pPr>
              <w:spacing w:after="0"/>
              <w:rPr>
                <w:rFonts w:ascii="Tahoma" w:hAnsi="Tahoma" w:cs="Tahoma"/>
              </w:rPr>
            </w:pPr>
            <w:r w:rsidRPr="0040062A">
              <w:rPr>
                <w:rFonts w:ascii="Tahoma" w:hAnsi="Tahoma" w:cs="Tahoma"/>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C270A7" w:rsidRPr="0040062A" w:rsidRDefault="00C270A7" w:rsidP="0040062A">
            <w:pPr>
              <w:pStyle w:val="Luettelokappale"/>
              <w:numPr>
                <w:ilvl w:val="0"/>
                <w:numId w:val="1"/>
              </w:numPr>
              <w:spacing w:after="0" w:line="240" w:lineRule="auto"/>
              <w:rPr>
                <w:rFonts w:ascii="Tahoma" w:hAnsi="Tahoma" w:cs="Tahoma"/>
              </w:rPr>
            </w:pPr>
            <w:r w:rsidRPr="0040062A">
              <w:rPr>
                <w:rFonts w:ascii="Tahoma" w:hAnsi="Tahoma" w:cs="Tahoma"/>
              </w:rPr>
              <w:t>opinnäytetöiden ja työelämäyhteyden hakemisesta</w:t>
            </w:r>
          </w:p>
          <w:p w:rsidR="00C270A7" w:rsidRPr="0040062A" w:rsidRDefault="00C270A7" w:rsidP="0040062A">
            <w:pPr>
              <w:pStyle w:val="Luettelokappale"/>
              <w:numPr>
                <w:ilvl w:val="0"/>
                <w:numId w:val="1"/>
              </w:numPr>
              <w:spacing w:after="0" w:line="240" w:lineRule="auto"/>
              <w:rPr>
                <w:rFonts w:ascii="Tahoma" w:hAnsi="Tahoma" w:cs="Tahoma"/>
              </w:rPr>
            </w:pPr>
            <w:r w:rsidRPr="0040062A">
              <w:rPr>
                <w:rFonts w:ascii="Tahoma" w:hAnsi="Tahoma" w:cs="Tahoma"/>
              </w:rPr>
              <w:t>opinnäytetyön tehtäväalueeseen perehtymisestä ja tehtävän asettamisesta</w:t>
            </w:r>
          </w:p>
          <w:p w:rsidR="00C270A7" w:rsidRPr="0040062A" w:rsidRDefault="00C270A7" w:rsidP="0040062A">
            <w:pPr>
              <w:pStyle w:val="Luettelokappale"/>
              <w:numPr>
                <w:ilvl w:val="0"/>
                <w:numId w:val="1"/>
              </w:numPr>
              <w:spacing w:after="0" w:line="240" w:lineRule="auto"/>
              <w:rPr>
                <w:rFonts w:ascii="Tahoma" w:hAnsi="Tahoma" w:cs="Tahoma"/>
              </w:rPr>
            </w:pPr>
            <w:r w:rsidRPr="0040062A">
              <w:rPr>
                <w:rFonts w:ascii="Tahoma" w:hAnsi="Tahoma" w:cs="Tahoma"/>
              </w:rPr>
              <w:t>asetetun tehtävän suorittamisesta ja raportoinnista</w:t>
            </w:r>
          </w:p>
          <w:p w:rsidR="00C270A7" w:rsidRPr="0040062A" w:rsidRDefault="00C270A7" w:rsidP="0040062A">
            <w:pPr>
              <w:pStyle w:val="Luettelokappale"/>
              <w:numPr>
                <w:ilvl w:val="0"/>
                <w:numId w:val="1"/>
              </w:numPr>
              <w:spacing w:after="0" w:line="240" w:lineRule="auto"/>
              <w:rPr>
                <w:rFonts w:ascii="Tahoma" w:hAnsi="Tahoma" w:cs="Tahoma"/>
              </w:rPr>
            </w:pPr>
            <w:r w:rsidRPr="0040062A">
              <w:rPr>
                <w:rFonts w:ascii="Tahoma" w:hAnsi="Tahoma" w:cs="Tahoma"/>
              </w:rPr>
              <w:t>opinnäytetyön viimeistelystä ja tiedotusmateriaalin laatimisesta.</w:t>
            </w:r>
          </w:p>
          <w:p w:rsidR="00C270A7" w:rsidRPr="0040062A" w:rsidRDefault="00C270A7" w:rsidP="007F328E">
            <w:pPr>
              <w:rPr>
                <w:rFonts w:ascii="Tahoma" w:hAnsi="Tahoma" w:cs="Tahoma"/>
                <w:color w:val="4BACC6"/>
              </w:rPr>
            </w:pPr>
            <w:r w:rsidRPr="0040062A">
              <w:rPr>
                <w:rFonts w:ascii="Tahoma" w:hAnsi="Tahoma" w:cs="Tahoma"/>
              </w:rPr>
              <w:t>Opinnäytetyö tarjoaa joustavan portin siirtyä työelämään ja hyvän mahdollisuuden verkottua omalla alalla.</w:t>
            </w:r>
          </w:p>
        </w:tc>
      </w:tr>
      <w:tr w:rsidR="00C270A7" w:rsidRPr="0040062A" w:rsidTr="007F328E">
        <w:tc>
          <w:tcPr>
            <w:tcW w:w="2093" w:type="dxa"/>
          </w:tcPr>
          <w:p w:rsidR="00C270A7" w:rsidRPr="0040062A" w:rsidRDefault="00C270A7" w:rsidP="007F328E">
            <w:pPr>
              <w:rPr>
                <w:rFonts w:ascii="Tahoma" w:hAnsi="Tahoma" w:cs="Tahoma"/>
                <w:b/>
                <w:szCs w:val="20"/>
              </w:rPr>
            </w:pPr>
            <w:r w:rsidRPr="0040062A">
              <w:rPr>
                <w:rFonts w:ascii="Tahoma" w:hAnsi="Tahoma" w:cs="Tahoma"/>
                <w:b/>
                <w:szCs w:val="20"/>
              </w:rPr>
              <w:t>Valinnaiset opinnot</w:t>
            </w:r>
          </w:p>
          <w:p w:rsidR="00C270A7" w:rsidRPr="0040062A" w:rsidRDefault="00C270A7" w:rsidP="007F328E">
            <w:pPr>
              <w:rPr>
                <w:rFonts w:ascii="Tahoma" w:hAnsi="Tahoma" w:cs="Tahoma"/>
                <w:szCs w:val="20"/>
              </w:rPr>
            </w:pPr>
          </w:p>
        </w:tc>
        <w:tc>
          <w:tcPr>
            <w:tcW w:w="1134" w:type="dxa"/>
          </w:tcPr>
          <w:p w:rsidR="00C270A7" w:rsidRPr="0040062A" w:rsidRDefault="00C270A7" w:rsidP="007F328E">
            <w:pPr>
              <w:rPr>
                <w:rFonts w:ascii="Tahoma" w:hAnsi="Tahoma" w:cs="Tahoma"/>
                <w:szCs w:val="20"/>
              </w:rPr>
            </w:pPr>
            <w:r w:rsidRPr="0040062A">
              <w:rPr>
                <w:rFonts w:ascii="Tahoma" w:hAnsi="Tahoma" w:cs="Tahoma"/>
                <w:szCs w:val="20"/>
              </w:rPr>
              <w:t>30 op</w:t>
            </w:r>
          </w:p>
        </w:tc>
        <w:tc>
          <w:tcPr>
            <w:tcW w:w="6551" w:type="dxa"/>
          </w:tcPr>
          <w:p w:rsidR="00C270A7" w:rsidRPr="0040062A" w:rsidRDefault="00C270A7" w:rsidP="007F328E">
            <w:pPr>
              <w:rPr>
                <w:rFonts w:ascii="Tahoma" w:hAnsi="Tahoma" w:cs="Tahoma"/>
                <w:szCs w:val="20"/>
              </w:rPr>
            </w:pPr>
            <w:r w:rsidRPr="0040062A">
              <w:rPr>
                <w:rFonts w:ascii="Tahoma" w:hAnsi="Tahoma" w:cs="Tahoma"/>
                <w:szCs w:val="20"/>
              </w:rPr>
              <w:t>Valinnaiset opinnot tukevat asiantuntijuuden kehittymistä ja suuntautuvat opiskelijan kiinnostuksen mukaan. Savonian opintotarjonta on käytettävissä. Muualta valittavien opintojen on oltava ammattikorkeakoulutasoa.</w:t>
            </w:r>
          </w:p>
        </w:tc>
      </w:tr>
      <w:tr w:rsidR="00C270A7" w:rsidRPr="0040062A" w:rsidTr="007F328E">
        <w:tc>
          <w:tcPr>
            <w:tcW w:w="2093" w:type="dxa"/>
          </w:tcPr>
          <w:p w:rsidR="00C270A7" w:rsidRPr="0040062A" w:rsidRDefault="00C270A7" w:rsidP="007F328E">
            <w:pPr>
              <w:rPr>
                <w:rFonts w:ascii="Tahoma" w:hAnsi="Tahoma" w:cs="Tahoma"/>
                <w:b/>
                <w:szCs w:val="20"/>
              </w:rPr>
            </w:pPr>
            <w:r w:rsidRPr="0040062A">
              <w:rPr>
                <w:rFonts w:ascii="Tahoma" w:hAnsi="Tahoma" w:cs="Tahoma"/>
                <w:b/>
                <w:szCs w:val="20"/>
              </w:rPr>
              <w:t>Yhteensä</w:t>
            </w:r>
          </w:p>
        </w:tc>
        <w:tc>
          <w:tcPr>
            <w:tcW w:w="1134" w:type="dxa"/>
          </w:tcPr>
          <w:p w:rsidR="00C270A7" w:rsidRPr="0040062A" w:rsidRDefault="00C270A7" w:rsidP="007F328E">
            <w:pPr>
              <w:rPr>
                <w:rFonts w:ascii="Tahoma" w:hAnsi="Tahoma" w:cs="Tahoma"/>
                <w:szCs w:val="20"/>
              </w:rPr>
            </w:pPr>
            <w:r w:rsidRPr="0040062A">
              <w:rPr>
                <w:rFonts w:ascii="Tahoma" w:hAnsi="Tahoma" w:cs="Tahoma"/>
                <w:szCs w:val="20"/>
              </w:rPr>
              <w:t>210 op</w:t>
            </w:r>
          </w:p>
        </w:tc>
        <w:tc>
          <w:tcPr>
            <w:tcW w:w="6551" w:type="dxa"/>
          </w:tcPr>
          <w:p w:rsidR="00C270A7" w:rsidRPr="0040062A" w:rsidRDefault="00C270A7" w:rsidP="007F328E">
            <w:pPr>
              <w:rPr>
                <w:rFonts w:ascii="Tahoma" w:hAnsi="Tahoma" w:cs="Tahoma"/>
                <w:szCs w:val="20"/>
              </w:rPr>
            </w:pPr>
          </w:p>
        </w:tc>
      </w:tr>
    </w:tbl>
    <w:p w:rsidR="00C270A7" w:rsidRPr="0040062A" w:rsidRDefault="00C270A7" w:rsidP="00C270A7">
      <w:pPr>
        <w:pStyle w:val="Otsikko2"/>
        <w:rPr>
          <w:rFonts w:ascii="Tahoma" w:hAnsi="Tahoma" w:cs="Tahoma"/>
          <w:szCs w:val="24"/>
          <w:lang w:val="fi-FI"/>
        </w:rPr>
      </w:pPr>
    </w:p>
    <w:p w:rsidR="00011E6C" w:rsidRPr="0040062A" w:rsidRDefault="00011E6C">
      <w:pPr>
        <w:rPr>
          <w:rFonts w:ascii="Tahoma" w:hAnsi="Tahoma" w:cs="Tahoma"/>
        </w:rPr>
      </w:pPr>
    </w:p>
    <w:sectPr w:rsidR="00011E6C" w:rsidRPr="0040062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30E29"/>
    <w:multiLevelType w:val="hybridMultilevel"/>
    <w:tmpl w:val="C33456AE"/>
    <w:lvl w:ilvl="0" w:tplc="C6B48F08">
      <w:numFmt w:val="bullet"/>
      <w:lvlText w:val="-"/>
      <w:lvlJc w:val="left"/>
      <w:pPr>
        <w:ind w:left="720" w:hanging="360"/>
      </w:pPr>
      <w:rPr>
        <w:rFonts w:ascii="Tahoma" w:eastAsia="Calibri"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A7"/>
    <w:rsid w:val="00011E6C"/>
    <w:rsid w:val="0040062A"/>
    <w:rsid w:val="00C270A7"/>
    <w:rsid w:val="00D42E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D6C05-E25C-4EB8-A4C1-D5A5E968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270A7"/>
    <w:pPr>
      <w:spacing w:after="200" w:line="276" w:lineRule="auto"/>
    </w:pPr>
    <w:rPr>
      <w:rFonts w:ascii="Calibri" w:eastAsia="Calibri" w:hAnsi="Calibri" w:cs="Times New Roman"/>
    </w:rPr>
  </w:style>
  <w:style w:type="paragraph" w:styleId="Otsikko2">
    <w:name w:val="heading 2"/>
    <w:basedOn w:val="Normaali"/>
    <w:next w:val="Normaali"/>
    <w:link w:val="Otsikko2Char"/>
    <w:uiPriority w:val="9"/>
    <w:unhideWhenUsed/>
    <w:qFormat/>
    <w:rsid w:val="00C270A7"/>
    <w:pPr>
      <w:keepNext/>
      <w:keepLines/>
      <w:spacing w:before="360" w:after="240"/>
      <w:outlineLvl w:val="1"/>
    </w:pPr>
    <w:rPr>
      <w:rFonts w:eastAsia="Times New Roman"/>
      <w:b/>
      <w:bCs/>
      <w:sz w:val="28"/>
      <w:szCs w:val="26"/>
      <w:lang w:val="x-none" w:eastAsia="x-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C270A7"/>
    <w:rPr>
      <w:rFonts w:ascii="Calibri" w:eastAsia="Times New Roman" w:hAnsi="Calibri" w:cs="Times New Roman"/>
      <w:b/>
      <w:bCs/>
      <w:sz w:val="28"/>
      <w:szCs w:val="26"/>
      <w:lang w:val="x-none" w:eastAsia="x-none"/>
    </w:rPr>
  </w:style>
  <w:style w:type="paragraph" w:styleId="Luettelokappale">
    <w:name w:val="List Paragraph"/>
    <w:basedOn w:val="Normaali"/>
    <w:uiPriority w:val="34"/>
    <w:qFormat/>
    <w:rsid w:val="00C27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2185</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Leppäsaari</dc:creator>
  <cp:keywords/>
  <dc:description/>
  <cp:lastModifiedBy>Marja Kopeli</cp:lastModifiedBy>
  <cp:revision>3</cp:revision>
  <dcterms:created xsi:type="dcterms:W3CDTF">2016-01-05T09:38:00Z</dcterms:created>
  <dcterms:modified xsi:type="dcterms:W3CDTF">2016-01-05T09:39:00Z</dcterms:modified>
</cp:coreProperties>
</file>