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3C61B0" w:rsidRPr="00063C83" w:rsidTr="007A463E">
        <w:tc>
          <w:tcPr>
            <w:tcW w:w="2093" w:type="dxa"/>
            <w:shd w:val="clear" w:color="auto" w:fill="31A3B5"/>
          </w:tcPr>
          <w:p w:rsidR="003C61B0" w:rsidRPr="00063C83" w:rsidRDefault="003C61B0" w:rsidP="002929FC">
            <w:pPr>
              <w:spacing w:before="120" w:after="120" w:line="276" w:lineRule="auto"/>
              <w:rPr>
                <w:rFonts w:ascii="Tahoma" w:eastAsia="Times New Roman" w:hAnsi="Tahoma" w:cs="Tahoma"/>
                <w:b/>
                <w:color w:val="FFFFFF"/>
                <w:lang w:eastAsia="fi-FI"/>
              </w:rPr>
            </w:pPr>
          </w:p>
        </w:tc>
        <w:tc>
          <w:tcPr>
            <w:tcW w:w="1134" w:type="dxa"/>
            <w:shd w:val="clear" w:color="auto" w:fill="31A3B5"/>
          </w:tcPr>
          <w:p w:rsidR="003C61B0" w:rsidRPr="00063C83" w:rsidRDefault="003C61B0" w:rsidP="002929FC">
            <w:pPr>
              <w:spacing w:before="120" w:after="120" w:line="276" w:lineRule="auto"/>
              <w:rPr>
                <w:rFonts w:ascii="Tahoma" w:eastAsia="Times New Roman" w:hAnsi="Tahoma" w:cs="Tahoma"/>
                <w:b/>
                <w:color w:val="FFFFFF"/>
                <w:lang w:eastAsia="fi-FI"/>
              </w:rPr>
            </w:pPr>
            <w:r w:rsidRPr="00063C83">
              <w:rPr>
                <w:rFonts w:ascii="Tahoma" w:eastAsia="Times New Roman" w:hAnsi="Tahoma" w:cs="Tahoma"/>
                <w:b/>
                <w:color w:val="FFFFFF"/>
                <w:lang w:eastAsia="fi-FI"/>
              </w:rPr>
              <w:t xml:space="preserve">Laajuus </w:t>
            </w:r>
          </w:p>
        </w:tc>
        <w:tc>
          <w:tcPr>
            <w:tcW w:w="6551" w:type="dxa"/>
            <w:shd w:val="clear" w:color="auto" w:fill="31A3B5"/>
          </w:tcPr>
          <w:p w:rsidR="003C61B0" w:rsidRPr="00063C83" w:rsidRDefault="003C61B0" w:rsidP="002929FC">
            <w:pPr>
              <w:spacing w:before="120" w:after="120" w:line="276" w:lineRule="auto"/>
              <w:rPr>
                <w:rFonts w:ascii="Tahoma" w:eastAsia="Times New Roman" w:hAnsi="Tahoma" w:cs="Tahoma"/>
                <w:b/>
                <w:color w:val="FFFFFF"/>
                <w:lang w:eastAsia="fi-FI"/>
              </w:rPr>
            </w:pPr>
            <w:r w:rsidRPr="00063C83">
              <w:rPr>
                <w:rFonts w:ascii="Tahoma" w:eastAsia="Times New Roman" w:hAnsi="Tahoma" w:cs="Tahoma"/>
                <w:b/>
                <w:color w:val="FFFFFF"/>
                <w:lang w:eastAsia="fi-FI"/>
              </w:rPr>
              <w:t>Luonnehdinta opinnoista lyhyesti</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 xml:space="preserve">Perusopinnot  </w:t>
            </w:r>
            <w:r w:rsidRPr="00063C83">
              <w:rPr>
                <w:rFonts w:ascii="Tahoma" w:eastAsia="Times New Roman" w:hAnsi="Tahoma" w:cs="Tahoma"/>
                <w:b/>
                <w:lang w:eastAsia="fi-FI"/>
              </w:rPr>
              <w:tab/>
            </w:r>
          </w:p>
        </w:tc>
        <w:tc>
          <w:tcPr>
            <w:tcW w:w="1134"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20 op</w:t>
            </w:r>
          </w:p>
        </w:tc>
        <w:tc>
          <w:tcPr>
            <w:tcW w:w="6551"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Musiikkipedagogin perusopinnot koostuvat työelämään valmistavista yleisistä kieliopinnoista ja tutkimuksen perusopinnoista</w:t>
            </w:r>
            <w:r w:rsidR="00063C83">
              <w:rPr>
                <w:rFonts w:ascii="Tahoma" w:eastAsia="Times New Roman" w:hAnsi="Tahoma" w:cs="Tahoma"/>
                <w:lang w:eastAsia="fi-FI"/>
              </w:rPr>
              <w:t>.</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Ammattiopinnot</w:t>
            </w:r>
          </w:p>
        </w:tc>
        <w:tc>
          <w:tcPr>
            <w:tcW w:w="1134" w:type="dxa"/>
          </w:tcPr>
          <w:p w:rsidR="003C61B0" w:rsidRPr="00063C83" w:rsidRDefault="003C61B0" w:rsidP="00063C83">
            <w:pPr>
              <w:spacing w:after="0" w:line="276" w:lineRule="auto"/>
              <w:rPr>
                <w:rFonts w:ascii="Tahoma" w:eastAsia="Times New Roman" w:hAnsi="Tahoma" w:cs="Tahoma"/>
                <w:lang w:eastAsia="fi-FI"/>
              </w:rPr>
            </w:pP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115 op</w:t>
            </w:r>
          </w:p>
        </w:tc>
        <w:tc>
          <w:tcPr>
            <w:tcW w:w="6551"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Musiikkipedagogin ammattiopinnot koostuvat musiikillista osaamista vahvistavista opinnoista. Opiskelija voi syventää omaa ammatillista osaamistaan toimimalla erilaisissa monialaisissa projekteissa. Myös yhteismusisoinnilla, workshopeilla, kamarimusiikilla ja orkesteritoiminnalla on merkittävä osuus yhteisöllisyyden ja vuorovaikutustaitojen kehittäjänä.</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Pedagogiset opinnot ja pedagoginen harjoittelu</w:t>
            </w:r>
          </w:p>
        </w:tc>
        <w:tc>
          <w:tcPr>
            <w:tcW w:w="1134" w:type="dxa"/>
          </w:tcPr>
          <w:p w:rsidR="003C61B0" w:rsidRPr="00063C83" w:rsidRDefault="003C61B0" w:rsidP="00063C83">
            <w:pPr>
              <w:spacing w:after="0" w:line="276" w:lineRule="auto"/>
              <w:rPr>
                <w:rFonts w:ascii="Tahoma" w:eastAsia="Times New Roman" w:hAnsi="Tahoma" w:cs="Tahoma"/>
                <w:lang w:eastAsia="fi-FI"/>
              </w:rPr>
            </w:pP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60 op</w:t>
            </w:r>
          </w:p>
        </w:tc>
        <w:tc>
          <w:tcPr>
            <w:tcW w:w="6551"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 xml:space="preserve">Musiikkipedagogin tutkintoon sisältyvät ammatillisen opettajakorkeakoulun kanssa yhdessä järjestettävät monipuoliset kasvatustieteelliset ja ainepedagogiset opinnot (60op) opetusharjoitteluineen. Koulutus antaa laaja-alaisen yleisen opettajan pätevyyden. </w:t>
            </w: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Opiskelija tiedostaa musiikkipedagogin työhön sisältyvien kontekstien ja lähestymistapojen moninaisuuden. Koulutus antaa mahdollisuuden perehtyä musiikin soveltavaan käyttöön. Opiskelijalla on tietoa musiikin merkityksestä osallisuuden ja yhteisöllisyyden edistäjänä.</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Harjoittelu</w:t>
            </w:r>
          </w:p>
        </w:tc>
        <w:tc>
          <w:tcPr>
            <w:tcW w:w="1134" w:type="dxa"/>
          </w:tcPr>
          <w:p w:rsidR="003C61B0" w:rsidRPr="00063C83" w:rsidRDefault="003C61B0" w:rsidP="00063C83">
            <w:pPr>
              <w:spacing w:after="0" w:line="276" w:lineRule="auto"/>
              <w:rPr>
                <w:rFonts w:ascii="Tahoma" w:eastAsia="Times New Roman" w:hAnsi="Tahoma" w:cs="Tahoma"/>
                <w:lang w:eastAsia="fi-FI"/>
              </w:rPr>
            </w:pP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15 op</w:t>
            </w:r>
          </w:p>
        </w:tc>
        <w:tc>
          <w:tcPr>
            <w:tcW w:w="6551" w:type="dxa"/>
          </w:tcPr>
          <w:p w:rsidR="003C61B0" w:rsidRPr="00063C83" w:rsidRDefault="003C61B0" w:rsidP="00063C83">
            <w:pPr>
              <w:autoSpaceDE w:val="0"/>
              <w:autoSpaceDN w:val="0"/>
              <w:spacing w:after="0" w:line="276" w:lineRule="auto"/>
              <w:rPr>
                <w:rFonts w:ascii="Tahoma" w:eastAsia="Times New Roman" w:hAnsi="Tahoma" w:cs="Tahoma"/>
                <w:iCs/>
                <w:lang w:eastAsia="fi-FI"/>
              </w:rPr>
            </w:pPr>
            <w:r w:rsidRPr="00063C83">
              <w:rPr>
                <w:rFonts w:ascii="Tahoma" w:eastAsia="Times New Roman" w:hAnsi="Tahoma" w:cs="Tahoma"/>
                <w:iCs/>
                <w:lang w:eastAsia="fi-FI"/>
              </w:rPr>
              <w:t>Harjoittelussa opiskelija perehtyy käytännön työtoimintaan ja hankkii valmiuksia erilaisten toimintatapojen ja työmenetelmien valinta</w:t>
            </w:r>
            <w:r w:rsidR="00063C83">
              <w:rPr>
                <w:rFonts w:ascii="Tahoma" w:eastAsia="Times New Roman" w:hAnsi="Tahoma" w:cs="Tahoma"/>
                <w:iCs/>
                <w:lang w:eastAsia="fi-FI"/>
              </w:rPr>
              <w:t xml:space="preserve">an, käyttöön ja soveltamiseen. </w:t>
            </w:r>
            <w:r w:rsidRPr="00063C83">
              <w:rPr>
                <w:rFonts w:ascii="Tahoma" w:eastAsia="Times New Roman" w:hAnsi="Tahoma" w:cs="Tahoma"/>
                <w:iCs/>
                <w:lang w:eastAsia="fi-FI"/>
              </w:rPr>
              <w:t>Harjoittelussa opitaan myös kehittämään asiakas- ja työelämälähtöisesti uusia ratkaisuja ja</w:t>
            </w:r>
            <w:r w:rsidR="00063C83">
              <w:rPr>
                <w:rFonts w:ascii="Tahoma" w:eastAsia="Times New Roman" w:hAnsi="Tahoma" w:cs="Tahoma"/>
                <w:iCs/>
                <w:lang w:eastAsia="fi-FI"/>
              </w:rPr>
              <w:t xml:space="preserve"> toiminnan laatua. Se </w:t>
            </w:r>
            <w:r w:rsidRPr="00063C83">
              <w:rPr>
                <w:rFonts w:ascii="Tahoma" w:eastAsia="Times New Roman" w:hAnsi="Tahoma" w:cs="Tahoma"/>
                <w:iCs/>
                <w:lang w:eastAsia="fi-FI"/>
              </w:rPr>
              <w:t xml:space="preserve">valmentaa työelämän vaatimuksiin ammatillista osaamista syventämällä sekä auttaa työllistymään koulutusalaa ja suuntautumista vastaaviin tehtäviin. </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Opinnäytetyö</w:t>
            </w:r>
          </w:p>
          <w:p w:rsidR="003C61B0" w:rsidRPr="00063C83" w:rsidRDefault="003C61B0" w:rsidP="00063C83">
            <w:pPr>
              <w:spacing w:after="0" w:line="276" w:lineRule="auto"/>
              <w:rPr>
                <w:rFonts w:ascii="Tahoma" w:eastAsia="Times New Roman" w:hAnsi="Tahoma" w:cs="Tahoma"/>
                <w:lang w:eastAsia="fi-FI"/>
              </w:rPr>
            </w:pPr>
          </w:p>
        </w:tc>
        <w:tc>
          <w:tcPr>
            <w:tcW w:w="1134"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15 op</w:t>
            </w:r>
          </w:p>
        </w:tc>
        <w:tc>
          <w:tcPr>
            <w:tcW w:w="6551"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3C61B0" w:rsidRPr="00063C83" w:rsidRDefault="003C61B0" w:rsidP="00063C83">
            <w:pPr>
              <w:numPr>
                <w:ilvl w:val="0"/>
                <w:numId w:val="1"/>
              </w:numPr>
              <w:autoSpaceDE w:val="0"/>
              <w:autoSpaceDN w:val="0"/>
              <w:adjustRightInd w:val="0"/>
              <w:spacing w:after="0" w:line="240" w:lineRule="auto"/>
              <w:ind w:left="1168"/>
              <w:rPr>
                <w:rFonts w:ascii="Tahoma" w:eastAsia="Times New Roman" w:hAnsi="Tahoma" w:cs="Tahoma"/>
                <w:color w:val="000000"/>
                <w:lang w:eastAsia="fi-FI"/>
              </w:rPr>
            </w:pPr>
            <w:r w:rsidRPr="00063C83">
              <w:rPr>
                <w:rFonts w:ascii="Tahoma" w:eastAsia="Times New Roman" w:hAnsi="Tahoma" w:cs="Tahoma"/>
                <w:color w:val="000000"/>
                <w:lang w:eastAsia="fi-FI"/>
              </w:rPr>
              <w:t>opinnäytetyöidean ja työelämäyhteyden hakemisesta</w:t>
            </w:r>
          </w:p>
          <w:p w:rsidR="003C61B0" w:rsidRPr="00063C83" w:rsidRDefault="003C61B0" w:rsidP="00063C83">
            <w:pPr>
              <w:numPr>
                <w:ilvl w:val="0"/>
                <w:numId w:val="1"/>
              </w:numPr>
              <w:autoSpaceDE w:val="0"/>
              <w:autoSpaceDN w:val="0"/>
              <w:adjustRightInd w:val="0"/>
              <w:spacing w:after="0" w:line="240" w:lineRule="auto"/>
              <w:ind w:left="1168"/>
              <w:rPr>
                <w:rFonts w:ascii="Tahoma" w:eastAsia="Times New Roman" w:hAnsi="Tahoma" w:cs="Tahoma"/>
                <w:color w:val="000000"/>
                <w:lang w:eastAsia="fi-FI"/>
              </w:rPr>
            </w:pPr>
            <w:r w:rsidRPr="00063C83">
              <w:rPr>
                <w:rFonts w:ascii="Tahoma" w:eastAsia="Times New Roman" w:hAnsi="Tahoma" w:cs="Tahoma"/>
                <w:color w:val="000000"/>
                <w:lang w:eastAsia="fi-FI"/>
              </w:rPr>
              <w:t>opinnäytetyön tehtäväalueeseen perehtymisestä ja tehtävän asettamisesta</w:t>
            </w:r>
          </w:p>
          <w:p w:rsidR="003C61B0" w:rsidRPr="00063C83" w:rsidRDefault="003C61B0" w:rsidP="00063C83">
            <w:pPr>
              <w:numPr>
                <w:ilvl w:val="0"/>
                <w:numId w:val="1"/>
              </w:numPr>
              <w:autoSpaceDE w:val="0"/>
              <w:autoSpaceDN w:val="0"/>
              <w:adjustRightInd w:val="0"/>
              <w:spacing w:after="0" w:line="240" w:lineRule="auto"/>
              <w:ind w:left="1168"/>
              <w:rPr>
                <w:rFonts w:ascii="Tahoma" w:eastAsia="Times New Roman" w:hAnsi="Tahoma" w:cs="Tahoma"/>
                <w:color w:val="000000"/>
                <w:lang w:eastAsia="fi-FI"/>
              </w:rPr>
            </w:pPr>
            <w:r w:rsidRPr="00063C83">
              <w:rPr>
                <w:rFonts w:ascii="Tahoma" w:eastAsia="Times New Roman" w:hAnsi="Tahoma" w:cs="Tahoma"/>
                <w:color w:val="000000"/>
                <w:lang w:eastAsia="fi-FI"/>
              </w:rPr>
              <w:t>asetetun tehtävän suorittamisesta ja raportoinnista</w:t>
            </w:r>
          </w:p>
          <w:p w:rsidR="003C61B0" w:rsidRPr="00063C83" w:rsidRDefault="003C61B0" w:rsidP="00063C83">
            <w:pPr>
              <w:numPr>
                <w:ilvl w:val="0"/>
                <w:numId w:val="1"/>
              </w:numPr>
              <w:autoSpaceDE w:val="0"/>
              <w:autoSpaceDN w:val="0"/>
              <w:adjustRightInd w:val="0"/>
              <w:spacing w:after="0" w:line="240" w:lineRule="auto"/>
              <w:ind w:left="1168"/>
              <w:rPr>
                <w:rFonts w:ascii="Tahoma" w:eastAsia="Times New Roman" w:hAnsi="Tahoma" w:cs="Tahoma"/>
                <w:color w:val="000000"/>
                <w:lang w:eastAsia="fi-FI"/>
              </w:rPr>
            </w:pPr>
            <w:r w:rsidRPr="00063C83">
              <w:rPr>
                <w:rFonts w:ascii="Tahoma" w:eastAsia="Times New Roman" w:hAnsi="Tahoma" w:cs="Tahoma"/>
                <w:color w:val="000000"/>
                <w:lang w:eastAsia="fi-FI"/>
              </w:rPr>
              <w:lastRenderedPageBreak/>
              <w:t>opinnäytetyön viimeistelystä ja tiedotusmateriaalin laatimisesta.</w:t>
            </w:r>
          </w:p>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Opinnäytetyö tarjoaa joustavan portin siirtyä työelämään ja hyvän mahdollisuuden verkottua omalla alalla.</w:t>
            </w:r>
          </w:p>
        </w:tc>
      </w:tr>
      <w:tr w:rsidR="003C61B0" w:rsidRPr="00063C83" w:rsidTr="007A463E">
        <w:tc>
          <w:tcPr>
            <w:tcW w:w="2093" w:type="dxa"/>
          </w:tcPr>
          <w:p w:rsidR="003C61B0" w:rsidRPr="00063C83" w:rsidRDefault="00063C83" w:rsidP="00063C83">
            <w:pPr>
              <w:spacing w:after="0" w:line="276" w:lineRule="auto"/>
              <w:rPr>
                <w:rFonts w:ascii="Tahoma" w:eastAsia="Times New Roman" w:hAnsi="Tahoma" w:cs="Tahoma"/>
                <w:b/>
                <w:lang w:eastAsia="fi-FI"/>
              </w:rPr>
            </w:pPr>
            <w:r>
              <w:rPr>
                <w:rFonts w:ascii="Tahoma" w:eastAsia="Times New Roman" w:hAnsi="Tahoma" w:cs="Tahoma"/>
                <w:b/>
                <w:lang w:eastAsia="fi-FI"/>
              </w:rPr>
              <w:lastRenderedPageBreak/>
              <w:t>Vallinnaiset</w:t>
            </w:r>
            <w:r w:rsidR="003C61B0" w:rsidRPr="00063C83">
              <w:rPr>
                <w:rFonts w:ascii="Tahoma" w:eastAsia="Times New Roman" w:hAnsi="Tahoma" w:cs="Tahoma"/>
                <w:b/>
                <w:lang w:eastAsia="fi-FI"/>
              </w:rPr>
              <w:t xml:space="preserve"> opinnot</w:t>
            </w:r>
          </w:p>
          <w:p w:rsidR="003C61B0" w:rsidRPr="00063C83" w:rsidRDefault="003C61B0" w:rsidP="00063C83">
            <w:pPr>
              <w:spacing w:after="0" w:line="276" w:lineRule="auto"/>
              <w:rPr>
                <w:rFonts w:ascii="Tahoma" w:eastAsia="Times New Roman" w:hAnsi="Tahoma" w:cs="Tahoma"/>
                <w:lang w:eastAsia="fi-FI"/>
              </w:rPr>
            </w:pPr>
          </w:p>
        </w:tc>
        <w:tc>
          <w:tcPr>
            <w:tcW w:w="1134"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15 op</w:t>
            </w:r>
          </w:p>
        </w:tc>
        <w:tc>
          <w:tcPr>
            <w:tcW w:w="6551" w:type="dxa"/>
          </w:tcPr>
          <w:p w:rsidR="003C61B0" w:rsidRPr="00063C83" w:rsidRDefault="00063C83" w:rsidP="00063C83">
            <w:pPr>
              <w:spacing w:after="0" w:line="276" w:lineRule="auto"/>
              <w:rPr>
                <w:rFonts w:ascii="Tahoma" w:eastAsia="Times New Roman" w:hAnsi="Tahoma" w:cs="Tahoma"/>
                <w:lang w:eastAsia="fi-FI"/>
              </w:rPr>
            </w:pPr>
            <w:r>
              <w:rPr>
                <w:rFonts w:ascii="Tahoma" w:eastAsia="Times New Roman" w:hAnsi="Tahoma" w:cs="Tahoma"/>
                <w:lang w:eastAsia="fi-FI"/>
              </w:rPr>
              <w:t>Valinnaiset</w:t>
            </w:r>
            <w:r w:rsidR="003C61B0" w:rsidRPr="00063C83">
              <w:rPr>
                <w:rFonts w:ascii="Tahoma" w:eastAsia="Times New Roman" w:hAnsi="Tahoma" w:cs="Tahoma"/>
                <w:lang w:eastAsia="fi-FI"/>
              </w:rPr>
              <w:t xml:space="preserve"> opinnot tukevat asiantuntijuuden kehittymistä ja suuntautuvat opiskelijan kiinnostuksen mukaan. Savonian opintotarjonta on käytettävissä. Muualta valittavien opintojen on oltava ammattikorkeakoulutasoa.</w:t>
            </w:r>
          </w:p>
        </w:tc>
      </w:tr>
      <w:tr w:rsidR="003C61B0" w:rsidRPr="00063C83" w:rsidTr="007A463E">
        <w:tc>
          <w:tcPr>
            <w:tcW w:w="2093" w:type="dxa"/>
          </w:tcPr>
          <w:p w:rsidR="003C61B0" w:rsidRPr="00063C83" w:rsidRDefault="003C61B0" w:rsidP="00063C83">
            <w:pPr>
              <w:spacing w:after="0" w:line="276" w:lineRule="auto"/>
              <w:rPr>
                <w:rFonts w:ascii="Tahoma" w:eastAsia="Times New Roman" w:hAnsi="Tahoma" w:cs="Tahoma"/>
                <w:b/>
                <w:lang w:eastAsia="fi-FI"/>
              </w:rPr>
            </w:pPr>
            <w:r w:rsidRPr="00063C83">
              <w:rPr>
                <w:rFonts w:ascii="Tahoma" w:eastAsia="Times New Roman" w:hAnsi="Tahoma" w:cs="Tahoma"/>
                <w:b/>
                <w:lang w:eastAsia="fi-FI"/>
              </w:rPr>
              <w:t>Yhteensä</w:t>
            </w:r>
          </w:p>
        </w:tc>
        <w:tc>
          <w:tcPr>
            <w:tcW w:w="1134" w:type="dxa"/>
          </w:tcPr>
          <w:p w:rsidR="003C61B0" w:rsidRPr="00063C83" w:rsidRDefault="003C61B0" w:rsidP="00063C83">
            <w:pPr>
              <w:spacing w:after="0" w:line="276" w:lineRule="auto"/>
              <w:rPr>
                <w:rFonts w:ascii="Tahoma" w:eastAsia="Times New Roman" w:hAnsi="Tahoma" w:cs="Tahoma"/>
                <w:lang w:eastAsia="fi-FI"/>
              </w:rPr>
            </w:pPr>
            <w:r w:rsidRPr="00063C83">
              <w:rPr>
                <w:rFonts w:ascii="Tahoma" w:eastAsia="Times New Roman" w:hAnsi="Tahoma" w:cs="Tahoma"/>
                <w:lang w:eastAsia="fi-FI"/>
              </w:rPr>
              <w:t>240 op</w:t>
            </w:r>
          </w:p>
        </w:tc>
        <w:tc>
          <w:tcPr>
            <w:tcW w:w="6551" w:type="dxa"/>
          </w:tcPr>
          <w:p w:rsidR="003C61B0" w:rsidRPr="00063C83" w:rsidRDefault="003C61B0" w:rsidP="00063C83">
            <w:pPr>
              <w:spacing w:after="0" w:line="276" w:lineRule="auto"/>
              <w:rPr>
                <w:rFonts w:ascii="Tahoma" w:eastAsia="Times New Roman" w:hAnsi="Tahoma" w:cs="Tahoma"/>
                <w:lang w:eastAsia="fi-FI"/>
              </w:rPr>
            </w:pPr>
          </w:p>
        </w:tc>
      </w:tr>
    </w:tbl>
    <w:p w:rsidR="00F00710" w:rsidRPr="00063C83" w:rsidRDefault="00F00710" w:rsidP="009A6A49">
      <w:pPr>
        <w:spacing w:after="0"/>
        <w:rPr>
          <w:rFonts w:ascii="Tahoma" w:hAnsi="Tahoma" w:cs="Tahoma"/>
        </w:rPr>
      </w:pPr>
      <w:bookmarkStart w:id="0" w:name="_GoBack"/>
      <w:bookmarkEnd w:id="0"/>
    </w:p>
    <w:sectPr w:rsidR="00F00710" w:rsidRPr="00063C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6211C"/>
    <w:multiLevelType w:val="hybridMultilevel"/>
    <w:tmpl w:val="824890B6"/>
    <w:lvl w:ilvl="0" w:tplc="040B0001">
      <w:start w:val="1"/>
      <w:numFmt w:val="bullet"/>
      <w:lvlText w:val=""/>
      <w:lvlJc w:val="left"/>
      <w:pPr>
        <w:ind w:left="1980" w:hanging="360"/>
      </w:pPr>
      <w:rPr>
        <w:rFonts w:ascii="Symbol" w:hAnsi="Symbol" w:hint="default"/>
      </w:rPr>
    </w:lvl>
    <w:lvl w:ilvl="1" w:tplc="040B0003" w:tentative="1">
      <w:start w:val="1"/>
      <w:numFmt w:val="bullet"/>
      <w:lvlText w:val="o"/>
      <w:lvlJc w:val="left"/>
      <w:pPr>
        <w:ind w:left="2700" w:hanging="360"/>
      </w:pPr>
      <w:rPr>
        <w:rFonts w:ascii="Courier New" w:hAnsi="Courier New" w:cs="Courier New" w:hint="default"/>
      </w:rPr>
    </w:lvl>
    <w:lvl w:ilvl="2" w:tplc="040B0005" w:tentative="1">
      <w:start w:val="1"/>
      <w:numFmt w:val="bullet"/>
      <w:lvlText w:val=""/>
      <w:lvlJc w:val="left"/>
      <w:pPr>
        <w:ind w:left="3420" w:hanging="360"/>
      </w:pPr>
      <w:rPr>
        <w:rFonts w:ascii="Wingdings" w:hAnsi="Wingdings" w:hint="default"/>
      </w:rPr>
    </w:lvl>
    <w:lvl w:ilvl="3" w:tplc="040B0001" w:tentative="1">
      <w:start w:val="1"/>
      <w:numFmt w:val="bullet"/>
      <w:lvlText w:val=""/>
      <w:lvlJc w:val="left"/>
      <w:pPr>
        <w:ind w:left="4140" w:hanging="360"/>
      </w:pPr>
      <w:rPr>
        <w:rFonts w:ascii="Symbol" w:hAnsi="Symbol" w:hint="default"/>
      </w:rPr>
    </w:lvl>
    <w:lvl w:ilvl="4" w:tplc="040B0003" w:tentative="1">
      <w:start w:val="1"/>
      <w:numFmt w:val="bullet"/>
      <w:lvlText w:val="o"/>
      <w:lvlJc w:val="left"/>
      <w:pPr>
        <w:ind w:left="4860" w:hanging="360"/>
      </w:pPr>
      <w:rPr>
        <w:rFonts w:ascii="Courier New" w:hAnsi="Courier New" w:cs="Courier New" w:hint="default"/>
      </w:rPr>
    </w:lvl>
    <w:lvl w:ilvl="5" w:tplc="040B0005" w:tentative="1">
      <w:start w:val="1"/>
      <w:numFmt w:val="bullet"/>
      <w:lvlText w:val=""/>
      <w:lvlJc w:val="left"/>
      <w:pPr>
        <w:ind w:left="5580" w:hanging="360"/>
      </w:pPr>
      <w:rPr>
        <w:rFonts w:ascii="Wingdings" w:hAnsi="Wingdings" w:hint="default"/>
      </w:rPr>
    </w:lvl>
    <w:lvl w:ilvl="6" w:tplc="040B0001" w:tentative="1">
      <w:start w:val="1"/>
      <w:numFmt w:val="bullet"/>
      <w:lvlText w:val=""/>
      <w:lvlJc w:val="left"/>
      <w:pPr>
        <w:ind w:left="6300" w:hanging="360"/>
      </w:pPr>
      <w:rPr>
        <w:rFonts w:ascii="Symbol" w:hAnsi="Symbol" w:hint="default"/>
      </w:rPr>
    </w:lvl>
    <w:lvl w:ilvl="7" w:tplc="040B0003" w:tentative="1">
      <w:start w:val="1"/>
      <w:numFmt w:val="bullet"/>
      <w:lvlText w:val="o"/>
      <w:lvlJc w:val="left"/>
      <w:pPr>
        <w:ind w:left="7020" w:hanging="360"/>
      </w:pPr>
      <w:rPr>
        <w:rFonts w:ascii="Courier New" w:hAnsi="Courier New" w:cs="Courier New" w:hint="default"/>
      </w:rPr>
    </w:lvl>
    <w:lvl w:ilvl="8" w:tplc="040B0005" w:tentative="1">
      <w:start w:val="1"/>
      <w:numFmt w:val="bullet"/>
      <w:lvlText w:val=""/>
      <w:lvlJc w:val="left"/>
      <w:pPr>
        <w:ind w:left="7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B0"/>
    <w:rsid w:val="00063C83"/>
    <w:rsid w:val="002929FC"/>
    <w:rsid w:val="003C61B0"/>
    <w:rsid w:val="006557DB"/>
    <w:rsid w:val="009A6A49"/>
    <w:rsid w:val="00F007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3BA32-629B-4DF8-B911-93F97B36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2333</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5</cp:revision>
  <dcterms:created xsi:type="dcterms:W3CDTF">2016-01-14T06:32:00Z</dcterms:created>
  <dcterms:modified xsi:type="dcterms:W3CDTF">2016-01-14T06:35:00Z</dcterms:modified>
</cp:coreProperties>
</file>