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247"/>
        <w:gridCol w:w="6551"/>
      </w:tblGrid>
      <w:tr w:rsidR="008D0574" w:rsidRPr="00360740" w:rsidTr="00360740">
        <w:tc>
          <w:tcPr>
            <w:tcW w:w="1980" w:type="dxa"/>
            <w:shd w:val="clear" w:color="auto" w:fill="31A3B5"/>
          </w:tcPr>
          <w:p w:rsidR="008D0574" w:rsidRPr="00360740" w:rsidRDefault="008D0574" w:rsidP="00360740">
            <w:pPr>
              <w:spacing w:before="120" w:after="120"/>
              <w:rPr>
                <w:rFonts w:ascii="Tahoma" w:eastAsia="Calibri" w:hAnsi="Tahoma" w:cs="Tahoma"/>
                <w:b/>
                <w:color w:val="FFFFFF"/>
                <w:sz w:val="24"/>
                <w:szCs w:val="24"/>
              </w:rPr>
            </w:pPr>
          </w:p>
        </w:tc>
        <w:tc>
          <w:tcPr>
            <w:tcW w:w="1247" w:type="dxa"/>
            <w:shd w:val="clear" w:color="auto" w:fill="31A3B5"/>
          </w:tcPr>
          <w:p w:rsidR="008D0574" w:rsidRPr="00360740" w:rsidRDefault="008D0574" w:rsidP="00360740">
            <w:pPr>
              <w:spacing w:before="120" w:after="120"/>
              <w:rPr>
                <w:rFonts w:ascii="Tahoma" w:eastAsia="Calibri" w:hAnsi="Tahoma" w:cs="Tahoma"/>
                <w:b/>
                <w:color w:val="FFFFFF"/>
                <w:sz w:val="24"/>
                <w:szCs w:val="24"/>
              </w:rPr>
            </w:pPr>
            <w:r w:rsidRPr="00360740">
              <w:rPr>
                <w:rFonts w:ascii="Tahoma" w:eastAsia="Calibri" w:hAnsi="Tahoma" w:cs="Tahoma"/>
                <w:b/>
                <w:color w:val="FFFFFF"/>
                <w:sz w:val="24"/>
                <w:szCs w:val="24"/>
              </w:rPr>
              <w:t xml:space="preserve">Laajuus </w:t>
            </w:r>
          </w:p>
        </w:tc>
        <w:tc>
          <w:tcPr>
            <w:tcW w:w="6551" w:type="dxa"/>
            <w:shd w:val="clear" w:color="auto" w:fill="31A3B5"/>
          </w:tcPr>
          <w:p w:rsidR="008D0574" w:rsidRPr="00360740" w:rsidRDefault="008D0574" w:rsidP="00360740">
            <w:pPr>
              <w:spacing w:before="120" w:after="120"/>
              <w:rPr>
                <w:rFonts w:ascii="Tahoma" w:eastAsia="Calibri" w:hAnsi="Tahoma" w:cs="Tahoma"/>
                <w:b/>
                <w:color w:val="FFFFFF"/>
                <w:sz w:val="24"/>
                <w:szCs w:val="24"/>
              </w:rPr>
            </w:pPr>
            <w:r w:rsidRPr="00360740">
              <w:rPr>
                <w:rFonts w:ascii="Tahoma" w:eastAsia="Calibri" w:hAnsi="Tahoma" w:cs="Tahoma"/>
                <w:b/>
                <w:color w:val="FFFFFF"/>
                <w:sz w:val="24"/>
                <w:szCs w:val="24"/>
              </w:rPr>
              <w:t>Luonnehdinta opinnoista lyhyesti</w:t>
            </w:r>
          </w:p>
        </w:tc>
      </w:tr>
      <w:tr w:rsidR="008D0574" w:rsidRPr="00360740" w:rsidTr="00360740">
        <w:tc>
          <w:tcPr>
            <w:tcW w:w="1980" w:type="dxa"/>
          </w:tcPr>
          <w:p w:rsidR="008D0574" w:rsidRPr="00360740" w:rsidRDefault="00360740" w:rsidP="00360740">
            <w:pPr>
              <w:spacing w:after="0"/>
              <w:rPr>
                <w:rFonts w:ascii="Tahoma" w:eastAsia="Calibri" w:hAnsi="Tahoma" w:cs="Tahoma"/>
                <w:b/>
                <w:sz w:val="20"/>
                <w:szCs w:val="20"/>
              </w:rPr>
            </w:pPr>
            <w:r>
              <w:rPr>
                <w:rFonts w:ascii="Tahoma" w:eastAsia="Calibri" w:hAnsi="Tahoma" w:cs="Tahoma"/>
                <w:b/>
                <w:sz w:val="20"/>
                <w:szCs w:val="20"/>
              </w:rPr>
              <w:t xml:space="preserve">Perusopinnot  </w:t>
            </w:r>
          </w:p>
        </w:tc>
        <w:tc>
          <w:tcPr>
            <w:tcW w:w="1247" w:type="dxa"/>
          </w:tcPr>
          <w:p w:rsidR="008D0574" w:rsidRPr="00360740" w:rsidRDefault="008D0574" w:rsidP="00360740">
            <w:pPr>
              <w:spacing w:after="0"/>
              <w:rPr>
                <w:rFonts w:ascii="Tahoma" w:eastAsia="Calibri" w:hAnsi="Tahoma" w:cs="Tahoma"/>
                <w:sz w:val="20"/>
                <w:szCs w:val="20"/>
              </w:rPr>
            </w:pPr>
            <w:r w:rsidRPr="00360740">
              <w:rPr>
                <w:rFonts w:ascii="Tahoma" w:eastAsia="Calibri" w:hAnsi="Tahoma" w:cs="Tahoma"/>
                <w:sz w:val="20"/>
                <w:szCs w:val="20"/>
              </w:rPr>
              <w:t>35</w:t>
            </w:r>
            <w:r w:rsidR="00360740">
              <w:rPr>
                <w:rFonts w:ascii="Tahoma" w:eastAsia="Calibri" w:hAnsi="Tahoma" w:cs="Tahoma"/>
                <w:sz w:val="20"/>
                <w:szCs w:val="20"/>
              </w:rPr>
              <w:t xml:space="preserve"> op</w:t>
            </w:r>
          </w:p>
        </w:tc>
        <w:tc>
          <w:tcPr>
            <w:tcW w:w="6551" w:type="dxa"/>
          </w:tcPr>
          <w:p w:rsidR="002B1B94" w:rsidRPr="00360740" w:rsidRDefault="008D0574" w:rsidP="00360740">
            <w:pPr>
              <w:spacing w:after="0"/>
              <w:rPr>
                <w:rFonts w:ascii="Tahoma" w:eastAsia="Calibri" w:hAnsi="Tahoma" w:cs="Tahoma"/>
                <w:sz w:val="20"/>
                <w:szCs w:val="20"/>
              </w:rPr>
            </w:pPr>
            <w:r w:rsidRPr="00360740">
              <w:rPr>
                <w:rFonts w:ascii="Tahoma" w:eastAsia="Calibri" w:hAnsi="Tahoma" w:cs="Tahoma"/>
                <w:sz w:val="20"/>
                <w:szCs w:val="20"/>
              </w:rPr>
              <w:t>Perusopinnoissa opiskelija muodostaa laaja-alaisen yleiskuvan ensihoitajan ja sairaanhoitajan tehtäväalueen asemasta yhteiskunnassa, työelämässä ja kansainvälisesti. Opiskelija perehtyy tehtäväalueensa yleisiin teoreettisiin perusteisiin ja viestintään sekä hankkii ammattikorkeakouluasetuksessa vaadittavan kielitaidon.</w:t>
            </w:r>
          </w:p>
        </w:tc>
      </w:tr>
      <w:tr w:rsidR="008D0574" w:rsidRPr="00360740" w:rsidTr="00360740">
        <w:tc>
          <w:tcPr>
            <w:tcW w:w="1980" w:type="dxa"/>
          </w:tcPr>
          <w:p w:rsidR="008D0574" w:rsidRPr="00360740" w:rsidRDefault="008D0574" w:rsidP="00360740">
            <w:pPr>
              <w:spacing w:after="0"/>
              <w:rPr>
                <w:rFonts w:ascii="Tahoma" w:eastAsia="Calibri" w:hAnsi="Tahoma" w:cs="Tahoma"/>
                <w:b/>
                <w:sz w:val="20"/>
                <w:szCs w:val="20"/>
              </w:rPr>
            </w:pPr>
            <w:r w:rsidRPr="00360740">
              <w:rPr>
                <w:rFonts w:ascii="Tahoma" w:eastAsia="Calibri" w:hAnsi="Tahoma" w:cs="Tahoma"/>
                <w:b/>
                <w:sz w:val="20"/>
                <w:szCs w:val="20"/>
              </w:rPr>
              <w:t>Ammattiopinnot, teoriaopinnot</w:t>
            </w:r>
          </w:p>
        </w:tc>
        <w:tc>
          <w:tcPr>
            <w:tcW w:w="1247" w:type="dxa"/>
          </w:tcPr>
          <w:p w:rsidR="008D0574" w:rsidRPr="00360740" w:rsidRDefault="008D0574" w:rsidP="00360740">
            <w:pPr>
              <w:spacing w:after="0"/>
              <w:rPr>
                <w:rFonts w:ascii="Tahoma" w:eastAsia="Calibri" w:hAnsi="Tahoma" w:cs="Tahoma"/>
                <w:sz w:val="20"/>
                <w:szCs w:val="20"/>
              </w:rPr>
            </w:pPr>
            <w:r w:rsidRPr="00360740">
              <w:rPr>
                <w:rFonts w:ascii="Tahoma" w:eastAsia="Calibri" w:hAnsi="Tahoma" w:cs="Tahoma"/>
                <w:sz w:val="20"/>
                <w:szCs w:val="20"/>
              </w:rPr>
              <w:t>100</w:t>
            </w:r>
            <w:r w:rsidR="00360740">
              <w:rPr>
                <w:rFonts w:ascii="Tahoma" w:eastAsia="Calibri" w:hAnsi="Tahoma" w:cs="Tahoma"/>
                <w:sz w:val="20"/>
                <w:szCs w:val="20"/>
              </w:rPr>
              <w:t xml:space="preserve"> op</w:t>
            </w:r>
          </w:p>
        </w:tc>
        <w:tc>
          <w:tcPr>
            <w:tcW w:w="6551" w:type="dxa"/>
          </w:tcPr>
          <w:p w:rsidR="002B1B94" w:rsidRPr="00360740" w:rsidRDefault="008D0574" w:rsidP="00360740">
            <w:pPr>
              <w:spacing w:after="0"/>
              <w:rPr>
                <w:rFonts w:ascii="Tahoma" w:eastAsia="Calibri" w:hAnsi="Tahoma" w:cs="Tahoma"/>
                <w:sz w:val="20"/>
                <w:szCs w:val="20"/>
              </w:rPr>
            </w:pPr>
            <w:r w:rsidRPr="00360740">
              <w:rPr>
                <w:rFonts w:ascii="Tahoma" w:eastAsia="Calibri" w:hAnsi="Tahoma" w:cs="Tahoma"/>
                <w:sz w:val="20"/>
                <w:szCs w:val="20"/>
              </w:rPr>
              <w:t>Ammattiopinnoissa opiskelija perehtyy ensihoitajan ja sairaanhoitajan tehtäväalueen keskeisiin ongelmakokonaisuuksiin ja sovellutuksiin sekä niiden</w:t>
            </w:r>
            <w:r w:rsidR="002B1B94" w:rsidRPr="00360740">
              <w:rPr>
                <w:rFonts w:ascii="Tahoma" w:eastAsia="Calibri" w:hAnsi="Tahoma" w:cs="Tahoma"/>
                <w:sz w:val="20"/>
                <w:szCs w:val="20"/>
              </w:rPr>
              <w:t xml:space="preserve"> tieteellisiin perusteisiin, jotta</w:t>
            </w:r>
            <w:r w:rsidRPr="00360740">
              <w:rPr>
                <w:rFonts w:ascii="Tahoma" w:eastAsia="Calibri" w:hAnsi="Tahoma" w:cs="Tahoma"/>
                <w:sz w:val="20"/>
                <w:szCs w:val="20"/>
              </w:rPr>
              <w:t xml:space="preserve"> hän kykenee valmistuttuaan työskentelemään itsenäisesti ensihoidon ja hoitotyön asiantuntijana</w:t>
            </w:r>
            <w:r w:rsidR="002B1B94" w:rsidRPr="00360740">
              <w:rPr>
                <w:rFonts w:ascii="Tahoma" w:eastAsia="Calibri" w:hAnsi="Tahoma" w:cs="Tahoma"/>
                <w:sz w:val="20"/>
                <w:szCs w:val="20"/>
              </w:rPr>
              <w:t xml:space="preserve">, </w:t>
            </w:r>
            <w:r w:rsidRPr="00360740">
              <w:rPr>
                <w:rFonts w:ascii="Tahoma" w:eastAsia="Calibri" w:hAnsi="Tahoma" w:cs="Tahoma"/>
                <w:sz w:val="20"/>
                <w:szCs w:val="20"/>
              </w:rPr>
              <w:t>esimiestehtävissä, kehitystehtävissä ja yrittäjänä.</w:t>
            </w:r>
          </w:p>
        </w:tc>
      </w:tr>
      <w:tr w:rsidR="008D0574" w:rsidRPr="00360740" w:rsidTr="00360740">
        <w:tc>
          <w:tcPr>
            <w:tcW w:w="1980" w:type="dxa"/>
          </w:tcPr>
          <w:p w:rsidR="008D0574" w:rsidRPr="00360740" w:rsidRDefault="008D0574" w:rsidP="00360740">
            <w:pPr>
              <w:spacing w:after="0"/>
              <w:rPr>
                <w:rFonts w:ascii="Tahoma" w:eastAsia="Calibri" w:hAnsi="Tahoma" w:cs="Tahoma"/>
                <w:b/>
                <w:sz w:val="20"/>
                <w:szCs w:val="20"/>
              </w:rPr>
            </w:pPr>
            <w:r w:rsidRPr="00360740">
              <w:rPr>
                <w:rFonts w:ascii="Tahoma" w:eastAsia="Calibri" w:hAnsi="Tahoma" w:cs="Tahoma"/>
                <w:b/>
                <w:sz w:val="20"/>
                <w:szCs w:val="20"/>
              </w:rPr>
              <w:t>Ammattiopinnot, harjoittelu</w:t>
            </w:r>
          </w:p>
        </w:tc>
        <w:tc>
          <w:tcPr>
            <w:tcW w:w="1247" w:type="dxa"/>
          </w:tcPr>
          <w:p w:rsidR="008D0574" w:rsidRPr="00360740" w:rsidRDefault="008D0574" w:rsidP="00360740">
            <w:pPr>
              <w:spacing w:after="0"/>
              <w:rPr>
                <w:rFonts w:ascii="Tahoma" w:eastAsia="Calibri" w:hAnsi="Tahoma" w:cs="Tahoma"/>
                <w:sz w:val="20"/>
                <w:szCs w:val="20"/>
              </w:rPr>
            </w:pPr>
            <w:r w:rsidRPr="00360740">
              <w:rPr>
                <w:rFonts w:ascii="Tahoma" w:eastAsia="Calibri" w:hAnsi="Tahoma" w:cs="Tahoma"/>
                <w:sz w:val="20"/>
                <w:szCs w:val="20"/>
              </w:rPr>
              <w:t>75</w:t>
            </w:r>
            <w:r w:rsidR="00360740">
              <w:rPr>
                <w:rFonts w:ascii="Tahoma" w:eastAsia="Calibri" w:hAnsi="Tahoma" w:cs="Tahoma"/>
                <w:sz w:val="20"/>
                <w:szCs w:val="20"/>
              </w:rPr>
              <w:t xml:space="preserve"> op</w:t>
            </w:r>
            <w:bookmarkStart w:id="0" w:name="_GoBack"/>
            <w:bookmarkEnd w:id="0"/>
          </w:p>
          <w:p w:rsidR="008D0574" w:rsidRPr="00360740" w:rsidRDefault="008D0574" w:rsidP="00360740">
            <w:pPr>
              <w:spacing w:after="0"/>
              <w:rPr>
                <w:rFonts w:ascii="Tahoma" w:eastAsia="Calibri" w:hAnsi="Tahoma" w:cs="Tahoma"/>
                <w:sz w:val="20"/>
                <w:szCs w:val="20"/>
              </w:rPr>
            </w:pPr>
          </w:p>
        </w:tc>
        <w:tc>
          <w:tcPr>
            <w:tcW w:w="6551" w:type="dxa"/>
          </w:tcPr>
          <w:p w:rsidR="002B1B94" w:rsidRPr="00360740" w:rsidRDefault="008D0574" w:rsidP="00360740">
            <w:pPr>
              <w:autoSpaceDE w:val="0"/>
              <w:autoSpaceDN w:val="0"/>
              <w:spacing w:after="0"/>
              <w:rPr>
                <w:rFonts w:ascii="Tahoma" w:eastAsia="Calibri" w:hAnsi="Tahoma" w:cs="Tahoma"/>
                <w:iCs/>
                <w:sz w:val="20"/>
                <w:szCs w:val="20"/>
              </w:rPr>
            </w:pPr>
            <w:r w:rsidRPr="00360740">
              <w:rPr>
                <w:rFonts w:ascii="Tahoma" w:eastAsia="Calibri"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8D0574" w:rsidRPr="00360740" w:rsidTr="00360740">
        <w:tc>
          <w:tcPr>
            <w:tcW w:w="1980" w:type="dxa"/>
          </w:tcPr>
          <w:p w:rsidR="008D0574" w:rsidRPr="00360740" w:rsidRDefault="008D0574" w:rsidP="00360740">
            <w:pPr>
              <w:spacing w:after="0"/>
              <w:rPr>
                <w:rFonts w:ascii="Tahoma" w:eastAsia="Calibri" w:hAnsi="Tahoma" w:cs="Tahoma"/>
                <w:b/>
                <w:sz w:val="20"/>
                <w:szCs w:val="20"/>
              </w:rPr>
            </w:pPr>
            <w:r w:rsidRPr="00360740">
              <w:rPr>
                <w:rFonts w:ascii="Tahoma" w:eastAsia="Calibri" w:hAnsi="Tahoma" w:cs="Tahoma"/>
                <w:b/>
                <w:sz w:val="20"/>
                <w:szCs w:val="20"/>
              </w:rPr>
              <w:t>Opinnäytetyö</w:t>
            </w:r>
          </w:p>
          <w:p w:rsidR="008D0574" w:rsidRPr="00360740" w:rsidRDefault="008D0574" w:rsidP="00360740">
            <w:pPr>
              <w:spacing w:after="0"/>
              <w:rPr>
                <w:rFonts w:ascii="Tahoma" w:eastAsia="Calibri" w:hAnsi="Tahoma" w:cs="Tahoma"/>
                <w:sz w:val="20"/>
                <w:szCs w:val="20"/>
              </w:rPr>
            </w:pPr>
          </w:p>
        </w:tc>
        <w:tc>
          <w:tcPr>
            <w:tcW w:w="1247" w:type="dxa"/>
          </w:tcPr>
          <w:p w:rsidR="008D0574" w:rsidRPr="00360740" w:rsidRDefault="008D0574" w:rsidP="00360740">
            <w:pPr>
              <w:spacing w:after="0"/>
              <w:rPr>
                <w:rFonts w:ascii="Tahoma" w:eastAsia="Calibri" w:hAnsi="Tahoma" w:cs="Tahoma"/>
                <w:sz w:val="20"/>
                <w:szCs w:val="20"/>
              </w:rPr>
            </w:pPr>
            <w:r w:rsidRPr="00360740">
              <w:rPr>
                <w:rFonts w:ascii="Tahoma" w:eastAsia="Calibri" w:hAnsi="Tahoma" w:cs="Tahoma"/>
                <w:sz w:val="20"/>
                <w:szCs w:val="20"/>
              </w:rPr>
              <w:t>15 op</w:t>
            </w:r>
          </w:p>
        </w:tc>
        <w:tc>
          <w:tcPr>
            <w:tcW w:w="6551" w:type="dxa"/>
          </w:tcPr>
          <w:p w:rsidR="002B1B94" w:rsidRPr="00360740" w:rsidRDefault="002B1B94" w:rsidP="00360740">
            <w:pPr>
              <w:spacing w:after="0" w:line="240" w:lineRule="auto"/>
              <w:rPr>
                <w:rFonts w:ascii="Tahoma" w:eastAsia="Calibri" w:hAnsi="Tahoma" w:cs="Tahoma"/>
                <w:sz w:val="20"/>
                <w:szCs w:val="20"/>
              </w:rPr>
            </w:pPr>
            <w:r w:rsidRPr="00360740">
              <w:rPr>
                <w:rFonts w:ascii="Tahoma" w:eastAsia="Calibri"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2B1B94" w:rsidRPr="00360740" w:rsidRDefault="002B1B94" w:rsidP="00360740">
            <w:pPr>
              <w:numPr>
                <w:ilvl w:val="1"/>
                <w:numId w:val="1"/>
              </w:numPr>
              <w:spacing w:after="0" w:line="240" w:lineRule="auto"/>
              <w:ind w:left="527" w:hanging="357"/>
              <w:contextualSpacing/>
              <w:rPr>
                <w:rFonts w:ascii="Tahoma" w:eastAsia="Calibri" w:hAnsi="Tahoma" w:cs="Tahoma"/>
                <w:sz w:val="20"/>
                <w:szCs w:val="20"/>
              </w:rPr>
            </w:pPr>
            <w:r w:rsidRPr="00360740">
              <w:rPr>
                <w:rFonts w:ascii="Tahoma" w:eastAsia="Calibri" w:hAnsi="Tahoma" w:cs="Tahoma"/>
                <w:sz w:val="20"/>
                <w:szCs w:val="20"/>
              </w:rPr>
              <w:t>opinnäytetyöidean ja työelämäyhteyden hakemisesta</w:t>
            </w:r>
          </w:p>
          <w:p w:rsidR="002B1B94" w:rsidRPr="00360740" w:rsidRDefault="002B1B94" w:rsidP="00360740">
            <w:pPr>
              <w:numPr>
                <w:ilvl w:val="1"/>
                <w:numId w:val="1"/>
              </w:numPr>
              <w:spacing w:after="0" w:line="240" w:lineRule="auto"/>
              <w:ind w:left="527" w:hanging="357"/>
              <w:contextualSpacing/>
              <w:rPr>
                <w:rFonts w:ascii="Tahoma" w:eastAsia="Calibri" w:hAnsi="Tahoma" w:cs="Tahoma"/>
                <w:sz w:val="20"/>
                <w:szCs w:val="20"/>
              </w:rPr>
            </w:pPr>
            <w:r w:rsidRPr="00360740">
              <w:rPr>
                <w:rFonts w:ascii="Tahoma" w:eastAsia="Calibri" w:hAnsi="Tahoma" w:cs="Tahoma"/>
                <w:sz w:val="20"/>
                <w:szCs w:val="20"/>
              </w:rPr>
              <w:t>opinnäytetyön tehtäväalueeseen perehtymisestä ja tehtävän asettamisesta</w:t>
            </w:r>
          </w:p>
          <w:p w:rsidR="002B1B94" w:rsidRPr="00360740" w:rsidRDefault="002B1B94" w:rsidP="00360740">
            <w:pPr>
              <w:numPr>
                <w:ilvl w:val="1"/>
                <w:numId w:val="1"/>
              </w:numPr>
              <w:spacing w:after="0" w:line="240" w:lineRule="auto"/>
              <w:ind w:left="527" w:hanging="357"/>
              <w:contextualSpacing/>
              <w:rPr>
                <w:rFonts w:ascii="Tahoma" w:eastAsia="Calibri" w:hAnsi="Tahoma" w:cs="Tahoma"/>
                <w:sz w:val="20"/>
                <w:szCs w:val="20"/>
              </w:rPr>
            </w:pPr>
            <w:r w:rsidRPr="00360740">
              <w:rPr>
                <w:rFonts w:ascii="Tahoma" w:eastAsia="Calibri" w:hAnsi="Tahoma" w:cs="Tahoma"/>
                <w:sz w:val="20"/>
                <w:szCs w:val="20"/>
              </w:rPr>
              <w:t>asetetun tehtävän suorittamisesta ja raportoinnista</w:t>
            </w:r>
          </w:p>
          <w:p w:rsidR="002B1B94" w:rsidRPr="00360740" w:rsidRDefault="002B1B94" w:rsidP="00360740">
            <w:pPr>
              <w:numPr>
                <w:ilvl w:val="1"/>
                <w:numId w:val="1"/>
              </w:numPr>
              <w:spacing w:after="0" w:line="240" w:lineRule="auto"/>
              <w:ind w:left="527" w:hanging="357"/>
              <w:contextualSpacing/>
              <w:rPr>
                <w:rFonts w:ascii="Tahoma" w:eastAsia="Calibri" w:hAnsi="Tahoma" w:cs="Tahoma"/>
                <w:sz w:val="20"/>
                <w:szCs w:val="20"/>
              </w:rPr>
            </w:pPr>
            <w:r w:rsidRPr="00360740">
              <w:rPr>
                <w:rFonts w:ascii="Tahoma" w:eastAsia="Calibri" w:hAnsi="Tahoma" w:cs="Tahoma"/>
                <w:sz w:val="20"/>
                <w:szCs w:val="20"/>
              </w:rPr>
              <w:t>opinnäytetyön viimeistelystä ja tiedotusmateriaalin laatimisesta.</w:t>
            </w:r>
          </w:p>
          <w:p w:rsidR="002B1B94" w:rsidRPr="00360740" w:rsidRDefault="002B1B94" w:rsidP="00360740">
            <w:pPr>
              <w:spacing w:after="0" w:line="240" w:lineRule="auto"/>
              <w:contextualSpacing/>
              <w:rPr>
                <w:rFonts w:ascii="Tahoma" w:eastAsia="Calibri" w:hAnsi="Tahoma" w:cs="Tahoma"/>
                <w:color w:val="4BACC6"/>
                <w:sz w:val="20"/>
                <w:szCs w:val="20"/>
              </w:rPr>
            </w:pPr>
            <w:r w:rsidRPr="00360740">
              <w:rPr>
                <w:rFonts w:ascii="Tahoma" w:eastAsia="Calibri" w:hAnsi="Tahoma" w:cs="Tahoma"/>
                <w:sz w:val="20"/>
                <w:szCs w:val="20"/>
              </w:rPr>
              <w:t>Opinnäytetyö tarjoaa joustavan portin siirtyä työelämään ja hyvän mahdollisuuden verkottua omalla alalla.</w:t>
            </w:r>
          </w:p>
        </w:tc>
      </w:tr>
      <w:tr w:rsidR="008D0574" w:rsidRPr="00360740" w:rsidTr="00360740">
        <w:tc>
          <w:tcPr>
            <w:tcW w:w="1980" w:type="dxa"/>
          </w:tcPr>
          <w:p w:rsidR="008D0574" w:rsidRPr="00360740" w:rsidRDefault="008D0574" w:rsidP="00360740">
            <w:pPr>
              <w:spacing w:after="0"/>
              <w:rPr>
                <w:rFonts w:ascii="Tahoma" w:eastAsia="Calibri" w:hAnsi="Tahoma" w:cs="Tahoma"/>
                <w:b/>
                <w:sz w:val="20"/>
                <w:szCs w:val="20"/>
              </w:rPr>
            </w:pPr>
            <w:r w:rsidRPr="00360740">
              <w:rPr>
                <w:rFonts w:ascii="Tahoma" w:eastAsia="Calibri" w:hAnsi="Tahoma" w:cs="Tahoma"/>
                <w:b/>
                <w:sz w:val="20"/>
                <w:szCs w:val="20"/>
              </w:rPr>
              <w:t>Valinnaiset opinnot</w:t>
            </w:r>
          </w:p>
          <w:p w:rsidR="008D0574" w:rsidRPr="00360740" w:rsidRDefault="008D0574" w:rsidP="00360740">
            <w:pPr>
              <w:spacing w:after="0"/>
              <w:rPr>
                <w:rFonts w:ascii="Tahoma" w:eastAsia="Calibri" w:hAnsi="Tahoma" w:cs="Tahoma"/>
                <w:sz w:val="20"/>
                <w:szCs w:val="20"/>
              </w:rPr>
            </w:pPr>
          </w:p>
        </w:tc>
        <w:tc>
          <w:tcPr>
            <w:tcW w:w="1247" w:type="dxa"/>
          </w:tcPr>
          <w:p w:rsidR="008D0574" w:rsidRPr="00360740" w:rsidRDefault="008D0574" w:rsidP="00360740">
            <w:pPr>
              <w:spacing w:after="0"/>
              <w:rPr>
                <w:rFonts w:ascii="Tahoma" w:eastAsia="Calibri" w:hAnsi="Tahoma" w:cs="Tahoma"/>
                <w:sz w:val="20"/>
                <w:szCs w:val="20"/>
              </w:rPr>
            </w:pPr>
            <w:r w:rsidRPr="00360740">
              <w:rPr>
                <w:rFonts w:ascii="Tahoma" w:eastAsia="Calibri" w:hAnsi="Tahoma" w:cs="Tahoma"/>
                <w:sz w:val="20"/>
                <w:szCs w:val="20"/>
              </w:rPr>
              <w:t>15 op</w:t>
            </w:r>
          </w:p>
        </w:tc>
        <w:tc>
          <w:tcPr>
            <w:tcW w:w="6551" w:type="dxa"/>
          </w:tcPr>
          <w:p w:rsidR="008D0574" w:rsidRPr="00360740" w:rsidRDefault="008D0574" w:rsidP="00360740">
            <w:pPr>
              <w:spacing w:after="0"/>
              <w:rPr>
                <w:rFonts w:ascii="Tahoma" w:eastAsia="Calibri" w:hAnsi="Tahoma" w:cs="Tahoma"/>
                <w:sz w:val="20"/>
                <w:szCs w:val="20"/>
              </w:rPr>
            </w:pPr>
            <w:r w:rsidRPr="00360740">
              <w:rPr>
                <w:rFonts w:ascii="Tahoma" w:hAnsi="Tahoma" w:cs="Tahoma"/>
                <w:sz w:val="20"/>
                <w:szCs w:val="20"/>
              </w:rPr>
              <w:t>Valinnaiset opinnot tukevat asiantuntijuuden kehittymistä ja suuntautuvat opiskelijan kiinnostuksen mukaan. Savonian yhteinen opintotarjonta on käytettävissä. Muualta valittavien opintojen on oltava ammattikorkeakoulutasoa.</w:t>
            </w:r>
          </w:p>
        </w:tc>
      </w:tr>
      <w:tr w:rsidR="008D0574" w:rsidRPr="00360740" w:rsidTr="00360740">
        <w:tc>
          <w:tcPr>
            <w:tcW w:w="1980" w:type="dxa"/>
          </w:tcPr>
          <w:p w:rsidR="008D0574" w:rsidRPr="00360740" w:rsidRDefault="008D0574" w:rsidP="00360740">
            <w:pPr>
              <w:spacing w:after="0"/>
              <w:rPr>
                <w:rFonts w:ascii="Tahoma" w:eastAsia="Calibri" w:hAnsi="Tahoma" w:cs="Tahoma"/>
                <w:b/>
                <w:sz w:val="20"/>
                <w:szCs w:val="20"/>
              </w:rPr>
            </w:pPr>
            <w:r w:rsidRPr="00360740">
              <w:rPr>
                <w:rFonts w:ascii="Tahoma" w:eastAsia="Calibri" w:hAnsi="Tahoma" w:cs="Tahoma"/>
                <w:b/>
                <w:sz w:val="20"/>
                <w:szCs w:val="20"/>
              </w:rPr>
              <w:t>Yhteensä</w:t>
            </w:r>
          </w:p>
        </w:tc>
        <w:tc>
          <w:tcPr>
            <w:tcW w:w="1247" w:type="dxa"/>
          </w:tcPr>
          <w:p w:rsidR="008D0574" w:rsidRPr="00360740" w:rsidRDefault="008D0574" w:rsidP="00360740">
            <w:pPr>
              <w:spacing w:after="0"/>
              <w:rPr>
                <w:rFonts w:ascii="Tahoma" w:eastAsia="Calibri" w:hAnsi="Tahoma" w:cs="Tahoma"/>
                <w:sz w:val="20"/>
                <w:szCs w:val="20"/>
              </w:rPr>
            </w:pPr>
            <w:r w:rsidRPr="00360740">
              <w:rPr>
                <w:rFonts w:ascii="Tahoma" w:eastAsia="Calibri" w:hAnsi="Tahoma" w:cs="Tahoma"/>
                <w:sz w:val="20"/>
                <w:szCs w:val="20"/>
              </w:rPr>
              <w:t>240 op</w:t>
            </w:r>
          </w:p>
        </w:tc>
        <w:tc>
          <w:tcPr>
            <w:tcW w:w="6551" w:type="dxa"/>
          </w:tcPr>
          <w:p w:rsidR="008D0574" w:rsidRPr="00360740" w:rsidRDefault="008D0574" w:rsidP="00360740">
            <w:pPr>
              <w:spacing w:after="0"/>
              <w:rPr>
                <w:rFonts w:ascii="Tahoma" w:eastAsia="Calibri" w:hAnsi="Tahoma" w:cs="Tahoma"/>
                <w:sz w:val="20"/>
                <w:szCs w:val="20"/>
              </w:rPr>
            </w:pPr>
          </w:p>
        </w:tc>
      </w:tr>
    </w:tbl>
    <w:p w:rsidR="00A15669" w:rsidRPr="00360740" w:rsidRDefault="00A15669" w:rsidP="00360740">
      <w:pPr>
        <w:spacing w:after="0"/>
        <w:rPr>
          <w:rFonts w:ascii="Tahoma" w:hAnsi="Tahoma" w:cs="Tahoma"/>
          <w:sz w:val="20"/>
          <w:szCs w:val="20"/>
        </w:rPr>
      </w:pPr>
    </w:p>
    <w:sectPr w:rsidR="00A15669" w:rsidRPr="0036074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74"/>
    <w:rsid w:val="002B1B94"/>
    <w:rsid w:val="00360740"/>
    <w:rsid w:val="004421A6"/>
    <w:rsid w:val="008D0574"/>
    <w:rsid w:val="00A15669"/>
    <w:rsid w:val="00C121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58167-9501-401B-B8CC-FDDE3BC0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D057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2015</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Päivi Smahl</dc:creator>
  <cp:lastModifiedBy>Marja Kopeli</cp:lastModifiedBy>
  <cp:revision>3</cp:revision>
  <dcterms:created xsi:type="dcterms:W3CDTF">2016-01-29T06:40:00Z</dcterms:created>
  <dcterms:modified xsi:type="dcterms:W3CDTF">2016-01-29T07:03:00Z</dcterms:modified>
</cp:coreProperties>
</file>