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49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7156"/>
      </w:tblGrid>
      <w:tr w:rsidR="00F62C13" w:rsidRPr="004841BC" w:rsidTr="00547BB3">
        <w:trPr>
          <w:trHeight w:val="557"/>
        </w:trPr>
        <w:tc>
          <w:tcPr>
            <w:tcW w:w="2773" w:type="dxa"/>
            <w:shd w:val="clear" w:color="auto" w:fill="31A3B5"/>
          </w:tcPr>
          <w:p w:rsidR="00F62C13" w:rsidRPr="00547BB3" w:rsidRDefault="00F62C13" w:rsidP="00547BB3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547BB3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Osaamisen osa-alue</w:t>
            </w:r>
          </w:p>
        </w:tc>
        <w:tc>
          <w:tcPr>
            <w:tcW w:w="7156" w:type="dxa"/>
            <w:shd w:val="clear" w:color="auto" w:fill="31A3B5"/>
          </w:tcPr>
          <w:p w:rsidR="00F62C13" w:rsidRPr="00547BB3" w:rsidRDefault="00F62C13" w:rsidP="00547BB3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547BB3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Osaaminen tasolla 6</w:t>
            </w:r>
          </w:p>
        </w:tc>
      </w:tr>
      <w:tr w:rsidR="00F62C13" w:rsidRPr="004841BC" w:rsidTr="00547BB3">
        <w:trPr>
          <w:trHeight w:val="1372"/>
        </w:trPr>
        <w:tc>
          <w:tcPr>
            <w:tcW w:w="2773" w:type="dxa"/>
          </w:tcPr>
          <w:p w:rsidR="00F62C13" w:rsidRPr="00547BB3" w:rsidRDefault="00F62C13" w:rsidP="00547BB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b/>
                <w:sz w:val="20"/>
                <w:szCs w:val="20"/>
              </w:rPr>
              <w:t>Tieto</w:t>
            </w:r>
          </w:p>
        </w:tc>
        <w:tc>
          <w:tcPr>
            <w:tcW w:w="7156" w:type="dxa"/>
          </w:tcPr>
          <w:p w:rsidR="00F62C13" w:rsidRPr="00547BB3" w:rsidRDefault="00F62C13" w:rsidP="00547BB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sz w:val="20"/>
                <w:szCs w:val="20"/>
              </w:rPr>
              <w:t>Ensihoitajalla on laaja-alaiset ja edistyneet ensihoidon ja hoitotyön ammattialan osaamista vas</w:t>
            </w:r>
            <w:r w:rsidR="00FE00D3" w:rsidRPr="00547BB3">
              <w:rPr>
                <w:rFonts w:ascii="Tahoma" w:eastAsia="Calibri" w:hAnsi="Tahoma" w:cs="Tahoma"/>
                <w:sz w:val="20"/>
                <w:szCs w:val="20"/>
              </w:rPr>
              <w:t xml:space="preserve">taavat </w:t>
            </w:r>
            <w:r w:rsidRPr="00547BB3">
              <w:rPr>
                <w:rFonts w:ascii="Tahoma" w:eastAsia="Calibri" w:hAnsi="Tahoma" w:cs="Tahoma"/>
                <w:sz w:val="20"/>
                <w:szCs w:val="20"/>
              </w:rPr>
              <w:t xml:space="preserve">tiedot, </w:t>
            </w:r>
            <w:r w:rsidR="0009455D" w:rsidRPr="00547BB3">
              <w:rPr>
                <w:rFonts w:ascii="Tahoma" w:eastAsia="Calibri" w:hAnsi="Tahoma" w:cs="Tahoma"/>
                <w:sz w:val="20"/>
                <w:szCs w:val="20"/>
              </w:rPr>
              <w:t xml:space="preserve">joihin liittyy teorioiden, keskeisten käsitteiden, menetelmien ja periaatteiden kriittinen ymmärtäminen, arviointi ja soveltaminen </w:t>
            </w:r>
            <w:r w:rsidRPr="00547BB3">
              <w:rPr>
                <w:rFonts w:ascii="Tahoma" w:eastAsia="Calibri" w:hAnsi="Tahoma" w:cs="Tahoma"/>
                <w:sz w:val="20"/>
                <w:szCs w:val="20"/>
              </w:rPr>
              <w:t>ensihoidon ja hoitotyön muuttuvissa ja ennakoimattomissa ympäristöissä. Hän ymmärtää ensi- ja hoitotyön tehtäväalueen kattavuuden ja rajat.</w:t>
            </w:r>
          </w:p>
        </w:tc>
      </w:tr>
      <w:tr w:rsidR="00F62C13" w:rsidRPr="004841BC" w:rsidTr="00547BB3">
        <w:trPr>
          <w:trHeight w:val="1071"/>
        </w:trPr>
        <w:tc>
          <w:tcPr>
            <w:tcW w:w="2773" w:type="dxa"/>
          </w:tcPr>
          <w:p w:rsidR="00F62C13" w:rsidRPr="00547BB3" w:rsidRDefault="00F62C13" w:rsidP="00547BB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Työskentelytapa ja </w:t>
            </w:r>
            <w:r w:rsidRPr="00547BB3">
              <w:rPr>
                <w:rFonts w:ascii="Tahoma" w:eastAsia="Calibri" w:hAnsi="Tahoma" w:cs="Tahoma"/>
                <w:b/>
                <w:sz w:val="20"/>
                <w:szCs w:val="20"/>
              </w:rPr>
              <w:br/>
              <w:t>soveltaminen (taito)</w:t>
            </w:r>
          </w:p>
        </w:tc>
        <w:tc>
          <w:tcPr>
            <w:tcW w:w="7156" w:type="dxa"/>
          </w:tcPr>
          <w:p w:rsidR="00F62C13" w:rsidRPr="00547BB3" w:rsidRDefault="00F62C13" w:rsidP="00547BB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sz w:val="20"/>
                <w:szCs w:val="20"/>
              </w:rPr>
              <w:t>En</w:t>
            </w:r>
            <w:r w:rsidR="0009455D" w:rsidRPr="00547BB3">
              <w:rPr>
                <w:rFonts w:ascii="Tahoma" w:eastAsia="Calibri" w:hAnsi="Tahoma" w:cs="Tahoma"/>
                <w:sz w:val="20"/>
                <w:szCs w:val="20"/>
              </w:rPr>
              <w:t xml:space="preserve">sihoitaja hallitsee edistyneet taidot, jotka osoittavat asioiden hallintaa, kykyä soveltaa ja kykyä </w:t>
            </w:r>
            <w:r w:rsidRPr="00547BB3">
              <w:rPr>
                <w:rFonts w:ascii="Tahoma" w:eastAsia="Calibri" w:hAnsi="Tahoma" w:cs="Tahoma"/>
                <w:sz w:val="20"/>
                <w:szCs w:val="20"/>
              </w:rPr>
              <w:t>ratkaista ammattialan ongelmia, tehdä päätöksiä ennakoimattomissa tilanteissa ja osaa vastata ensihoidon ja hoitotyön tehtävistä perustaen toimintansa parhaaseen mahdolliseen näyttöön.</w:t>
            </w:r>
          </w:p>
        </w:tc>
      </w:tr>
      <w:tr w:rsidR="00F62C13" w:rsidRPr="004841BC" w:rsidTr="00547BB3">
        <w:trPr>
          <w:trHeight w:val="877"/>
        </w:trPr>
        <w:tc>
          <w:tcPr>
            <w:tcW w:w="2773" w:type="dxa"/>
          </w:tcPr>
          <w:p w:rsidR="00F62C13" w:rsidRPr="00547BB3" w:rsidRDefault="00F62C13" w:rsidP="00547BB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Vastuu, johtaminen, </w:t>
            </w:r>
            <w:r w:rsidRPr="00547BB3">
              <w:rPr>
                <w:rFonts w:ascii="Tahoma" w:eastAsia="Calibri" w:hAnsi="Tahoma" w:cs="Tahoma"/>
                <w:b/>
                <w:sz w:val="20"/>
                <w:szCs w:val="20"/>
              </w:rPr>
              <w:br/>
              <w:t>yrittäjyys</w:t>
            </w:r>
          </w:p>
        </w:tc>
        <w:tc>
          <w:tcPr>
            <w:tcW w:w="7156" w:type="dxa"/>
          </w:tcPr>
          <w:p w:rsidR="00F62C13" w:rsidRPr="00547BB3" w:rsidRDefault="00F62C13" w:rsidP="00547BB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sz w:val="20"/>
                <w:szCs w:val="20"/>
              </w:rPr>
              <w:t>Ensihoitaja kykenee johtamaan monimutkaista ammatillista toimintaa tai hankkeita ja työskentelemään ensihoidon ja hoitotyön asiantuntijatehtävissä. Ensihoitajalla on perusvalmiudet toimia alan yrittäjänä.</w:t>
            </w:r>
          </w:p>
        </w:tc>
      </w:tr>
      <w:tr w:rsidR="0009455D" w:rsidRPr="004841BC" w:rsidTr="00547BB3">
        <w:trPr>
          <w:trHeight w:val="815"/>
        </w:trPr>
        <w:tc>
          <w:tcPr>
            <w:tcW w:w="2773" w:type="dxa"/>
          </w:tcPr>
          <w:p w:rsidR="0009455D" w:rsidRPr="00547BB3" w:rsidRDefault="0009455D" w:rsidP="00547BB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b/>
                <w:sz w:val="20"/>
                <w:szCs w:val="20"/>
              </w:rPr>
              <w:t>Arviointi</w:t>
            </w:r>
          </w:p>
        </w:tc>
        <w:tc>
          <w:tcPr>
            <w:tcW w:w="7156" w:type="dxa"/>
          </w:tcPr>
          <w:p w:rsidR="0009455D" w:rsidRPr="00547BB3" w:rsidRDefault="0009455D" w:rsidP="00547BB3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sz w:val="20"/>
                <w:szCs w:val="20"/>
              </w:rPr>
              <w:t>Ensihoitaja kykenee vastaamaan oman osaamisensa arvioinnin ja tavoitteellisen kehittämisen lisäksi yksittäisten henkilöiden ja ryhmien kehittämisestä.</w:t>
            </w:r>
          </w:p>
        </w:tc>
      </w:tr>
      <w:tr w:rsidR="00F62C13" w:rsidRPr="004841BC" w:rsidTr="00547BB3">
        <w:trPr>
          <w:trHeight w:val="1037"/>
        </w:trPr>
        <w:tc>
          <w:tcPr>
            <w:tcW w:w="2773" w:type="dxa"/>
          </w:tcPr>
          <w:p w:rsidR="00F62C13" w:rsidRPr="00547BB3" w:rsidRDefault="00F62C13" w:rsidP="00547BB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Elinikäisen oppimisen </w:t>
            </w:r>
            <w:r w:rsidRPr="00547BB3">
              <w:rPr>
                <w:rFonts w:ascii="Tahoma" w:eastAsia="Calibri" w:hAnsi="Tahoma" w:cs="Tahoma"/>
                <w:b/>
                <w:sz w:val="20"/>
                <w:szCs w:val="20"/>
              </w:rPr>
              <w:br/>
              <w:t>avaintaidot</w:t>
            </w:r>
          </w:p>
        </w:tc>
        <w:tc>
          <w:tcPr>
            <w:tcW w:w="7156" w:type="dxa"/>
          </w:tcPr>
          <w:p w:rsidR="00F62C13" w:rsidRPr="00547BB3" w:rsidRDefault="00F62C13" w:rsidP="00547BB3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547BB3">
              <w:rPr>
                <w:rFonts w:ascii="Tahoma" w:eastAsia="Calibri" w:hAnsi="Tahoma" w:cs="Tahoma"/>
                <w:sz w:val="20"/>
                <w:szCs w:val="20"/>
              </w:rPr>
              <w:t>Ensihoitajalla on valmius jatkuvaan</w:t>
            </w:r>
            <w:r w:rsidR="0009455D" w:rsidRPr="00547BB3">
              <w:rPr>
                <w:rFonts w:ascii="Tahoma" w:eastAsia="Calibri" w:hAnsi="Tahoma" w:cs="Tahoma"/>
                <w:sz w:val="20"/>
                <w:szCs w:val="20"/>
              </w:rPr>
              <w:t xml:space="preserve"> oppimiseen. </w:t>
            </w:r>
            <w:r w:rsidRPr="00547BB3">
              <w:rPr>
                <w:rFonts w:ascii="Tahoma" w:eastAsia="Calibri" w:hAnsi="Tahoma" w:cs="Tahoma"/>
                <w:sz w:val="20"/>
                <w:szCs w:val="20"/>
              </w:rPr>
              <w:t xml:space="preserve">Ensihoitaja osaa viestiä suullisesti ja kirjallisesti sekä alan että alan ulkopuoliselle yleisölle. Hän kykenee kansainväliseen viestintään ja vuorovaikutukseen ruotsin kielellä ja vähintään yhdellä vieraalla kielellä. </w:t>
            </w:r>
          </w:p>
        </w:tc>
      </w:tr>
    </w:tbl>
    <w:p w:rsidR="001F6338" w:rsidRDefault="00547BB3" w:rsidP="00F62C13">
      <w:r>
        <w:t xml:space="preserve">TE16SP_1 </w:t>
      </w:r>
    </w:p>
    <w:p w:rsidR="0015301C" w:rsidRDefault="0015301C" w:rsidP="00F62C13"/>
    <w:p w:rsidR="0015301C" w:rsidRDefault="0015301C" w:rsidP="00F62C13">
      <w:r>
        <w:t xml:space="preserve">TE16SP_2 </w:t>
      </w:r>
    </w:p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7102"/>
      </w:tblGrid>
      <w:tr w:rsidR="0015301C" w:rsidRPr="0015301C" w:rsidTr="001530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301C" w:rsidRPr="0015301C" w:rsidRDefault="0015301C" w:rsidP="0015301C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Yleiset kompetenssit</w:t>
            </w:r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br/>
              <w:t>(</w:t>
            </w:r>
            <w:proofErr w:type="spellStart"/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G</w:t>
            </w:r>
            <w:r w:rsidRPr="0015301C">
              <w:rPr>
                <w:rFonts w:ascii="Tahoma" w:eastAsia="Calibri" w:hAnsi="Tahoma" w:cs="Tahoma"/>
                <w:b/>
                <w:i/>
                <w:color w:val="FFFFFF"/>
                <w:sz w:val="24"/>
                <w:szCs w:val="24"/>
              </w:rPr>
              <w:t>eneric</w:t>
            </w:r>
            <w:proofErr w:type="spellEnd"/>
            <w:r w:rsidRPr="0015301C">
              <w:rPr>
                <w:rFonts w:ascii="Tahoma" w:eastAsia="Calibri" w:hAnsi="Tahoma" w:cs="Tahoma"/>
                <w:b/>
                <w:i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15301C">
              <w:rPr>
                <w:rFonts w:ascii="Tahoma" w:eastAsia="Calibri" w:hAnsi="Tahoma" w:cs="Tahoma"/>
                <w:b/>
                <w:i/>
                <w:color w:val="FFFFFF"/>
                <w:sz w:val="24"/>
                <w:szCs w:val="24"/>
              </w:rPr>
              <w:t>competences</w:t>
            </w:r>
            <w:proofErr w:type="spellEnd"/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301C" w:rsidRPr="0015301C" w:rsidRDefault="0015301C" w:rsidP="0015301C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  <w:lang w:val="en-US"/>
              </w:rPr>
              <w:t>Osaamisen</w:t>
            </w:r>
            <w:proofErr w:type="spellEnd"/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  <w:lang w:val="en-US"/>
              </w:rPr>
              <w:t>kuvaus</w:t>
            </w:r>
            <w:proofErr w:type="spellEnd"/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  <w:lang w:val="en-US"/>
              </w:rPr>
              <w:br/>
              <w:t>(</w:t>
            </w:r>
            <w:r w:rsidRPr="0015301C">
              <w:rPr>
                <w:rFonts w:ascii="Tahoma" w:eastAsia="Calibri" w:hAnsi="Tahoma" w:cs="Tahoma"/>
                <w:b/>
                <w:i/>
                <w:color w:val="FFFFFF"/>
                <w:sz w:val="24"/>
                <w:szCs w:val="24"/>
                <w:lang w:val="en-US"/>
              </w:rPr>
              <w:t>Description of the competence</w:t>
            </w:r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  <w:lang w:val="en-US"/>
              </w:rPr>
              <w:t>)</w:t>
            </w:r>
          </w:p>
        </w:tc>
      </w:tr>
      <w:tr w:rsidR="0015301C" w:rsidRPr="0015301C" w:rsidTr="001530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t>Oppimisen taidot</w:t>
            </w: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15301C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15301C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arvioida ja kehittää osaamistaan ja oppimistapojaan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hankkia, käsitellä ja arvioida tietoa kriittisesti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ottamaan vastuuta ryhmän oppimisesta ja opitun jakamisesta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15301C" w:rsidRPr="0015301C" w:rsidTr="001530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t>Eettinen osaaminen</w:t>
            </w: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15301C">
              <w:rPr>
                <w:rFonts w:ascii="Tahoma" w:eastAsia="Calibri" w:hAnsi="Tahoma" w:cs="Tahoma"/>
                <w:sz w:val="20"/>
                <w:szCs w:val="20"/>
              </w:rPr>
              <w:t>(</w:t>
            </w:r>
            <w:proofErr w:type="spellStart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Ethical</w:t>
            </w:r>
            <w:proofErr w:type="spellEnd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15301C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ottamaan vastuun omasta toiminnastaan ja sen seurauksista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alansa ammattieettisten periaatteiden mukaisesti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erilaiset toimijat huomioon työskentelyssään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tasa-arvoisuuden periaatteita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kestävän kehityksen periaatteita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vaikuttamaan yhteiskunnallisesti osaamistaan hyödyntäen ja eettisiin arvoihin perustuen </w:t>
            </w:r>
          </w:p>
        </w:tc>
      </w:tr>
      <w:tr w:rsidR="0015301C" w:rsidRPr="0015301C" w:rsidTr="001530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t>Työyhteisöosaaminen</w:t>
            </w: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(</w:t>
            </w:r>
            <w:proofErr w:type="spellStart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Working</w:t>
            </w:r>
            <w:proofErr w:type="spellEnd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työyhteisön jäsenenä ja edistää yhteisön hyvinvointia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työelämän viestintä- ja vuorovaikutustilanteissa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hyödyntää tieto- ja viestintätekniikkaa oman alansa tehtävissä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tehdä päätöksiä ennakoimattomissa tilanteissa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työn johtamiseen ja itsenäiseen työskentelyyn asiantuntijatehtävissä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lastRenderedPageBreak/>
              <w:t xml:space="preserve">omaa valmiuksia yrittäjyyteen </w:t>
            </w:r>
          </w:p>
        </w:tc>
      </w:tr>
      <w:tr w:rsidR="0015301C" w:rsidRPr="0015301C" w:rsidTr="001530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Innovaatio-osaaminen</w:t>
            </w: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luovaan ongelmanratkaisuun ja työtapojen kehittämiseen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työskennellä projekteissa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15301C" w:rsidRPr="0015301C" w:rsidTr="0015301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t>Kansainvälisyysosaaminen</w:t>
            </w:r>
            <w:r w:rsidRPr="0015301C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15301C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15301C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15301C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>omaa alansa työtehtävissä ja kehittymisessä tarvittavan kielitaidon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monikulttuuriseen yhteistyöhön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</w:tbl>
    <w:p w:rsidR="0015301C" w:rsidRDefault="0015301C" w:rsidP="0015301C">
      <w:pPr>
        <w:spacing w:after="0"/>
        <w:rPr>
          <w:rFonts w:ascii="Tahoma" w:hAnsi="Tahoma" w:cs="Tahoma"/>
          <w:sz w:val="20"/>
          <w:szCs w:val="20"/>
        </w:rPr>
      </w:pPr>
    </w:p>
    <w:p w:rsidR="0015301C" w:rsidRDefault="0015301C" w:rsidP="0015301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TE16SP_3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1"/>
        <w:gridCol w:w="3686"/>
      </w:tblGrid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301C" w:rsidRPr="0015301C" w:rsidRDefault="0015301C" w:rsidP="0015301C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Osaamis</w:t>
            </w:r>
            <w:bookmarkStart w:id="0" w:name="_GoBack"/>
            <w:bookmarkEnd w:id="0"/>
            <w:r w:rsidRPr="0015301C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alueet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301C" w:rsidRPr="0015301C" w:rsidRDefault="0015301C" w:rsidP="0015301C">
            <w:pPr>
              <w:spacing w:before="120" w:after="120"/>
              <w:rPr>
                <w:rFonts w:ascii="Tahoma" w:eastAsia="Calibri" w:hAnsi="Tahoma" w:cs="Tahoma"/>
                <w:b/>
                <w:snapToGrid w:val="0"/>
                <w:color w:val="FFFFFF"/>
                <w:sz w:val="24"/>
                <w:szCs w:val="24"/>
              </w:rPr>
            </w:pPr>
            <w:r w:rsidRPr="0015301C">
              <w:rPr>
                <w:rFonts w:ascii="Tahoma" w:eastAsia="Calibri" w:hAnsi="Tahoma" w:cs="Tahoma"/>
                <w:b/>
                <w:snapToGrid w:val="0"/>
                <w:color w:val="FFFFFF"/>
                <w:sz w:val="24"/>
                <w:szCs w:val="24"/>
              </w:rPr>
              <w:t xml:space="preserve">Ensihoitajakoulutuksen osaamistavoitteet </w:t>
            </w:r>
          </w:p>
          <w:p w:rsidR="0015301C" w:rsidRPr="0015301C" w:rsidRDefault="0015301C" w:rsidP="0015301C">
            <w:pPr>
              <w:spacing w:before="120" w:after="120"/>
              <w:rPr>
                <w:rFonts w:ascii="Tahoma" w:eastAsia="Calibri" w:hAnsi="Tahoma" w:cs="Tahoma"/>
                <w:b/>
                <w:snapToGrid w:val="0"/>
                <w:color w:val="FFFFFF"/>
                <w:sz w:val="24"/>
                <w:szCs w:val="24"/>
              </w:rPr>
            </w:pPr>
            <w:r w:rsidRPr="0015301C">
              <w:rPr>
                <w:rFonts w:ascii="Tahoma" w:eastAsia="Calibri" w:hAnsi="Tahoma" w:cs="Tahoma"/>
                <w:b/>
                <w:snapToGrid w:val="0"/>
                <w:color w:val="FFFFFF"/>
                <w:sz w:val="24"/>
                <w:szCs w:val="24"/>
              </w:rPr>
              <w:t>Ensihoitaja (AMK)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301C" w:rsidRPr="0015301C" w:rsidRDefault="0015301C" w:rsidP="0015301C">
            <w:pPr>
              <w:spacing w:before="120" w:after="120"/>
              <w:rPr>
                <w:rFonts w:ascii="Tahoma" w:eastAsia="Calibri" w:hAnsi="Tahoma" w:cs="Tahoma"/>
                <w:b/>
                <w:snapToGrid w:val="0"/>
                <w:color w:val="FFFFFF"/>
                <w:sz w:val="24"/>
                <w:szCs w:val="24"/>
              </w:rPr>
            </w:pPr>
            <w:r w:rsidRPr="0015301C">
              <w:rPr>
                <w:rFonts w:ascii="Tahoma" w:eastAsia="Calibri" w:hAnsi="Tahoma" w:cs="Tahoma"/>
                <w:b/>
                <w:snapToGrid w:val="0"/>
                <w:color w:val="FFFFFF"/>
                <w:sz w:val="24"/>
                <w:szCs w:val="24"/>
              </w:rPr>
              <w:t>Keskeiset sisällöt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b/>
                <w:sz w:val="20"/>
                <w:szCs w:val="20"/>
              </w:rPr>
              <w:t>Hoitotason ensihoito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Omaa ensihoitajan ammatti-identiteetin ja toimii hoitotason ensihoitajan velvollisuuksien ja vastuun mukaisesti, alan arvoperustaa ja ammattieettisiä periaatteita noudattaen.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Hallitsee todennetusti perustason ensihoidon osaamisvaatimukset.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vastata potilaan systemaattisesta tutkimisesta, tunnistaa ja ennakoida hoitotason ensihoitoa vaativat peruselintoimintojen häiriöt ja potilaan henkeä uhkaavat tilanteet sekä määritellä potilaalle työdiagnoosin.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Kykenee potilasturvallisuutta noudattaen toteuttamaan hoitoelvytyksen, vammautuneen tai sairastuneen potilaan hoitotasoisen hoidon tai hoitamaan potilasta pahimman oireen perusteella.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määritellä itsenäisesti, kokonaisvaltaisesti ja hoito-ohjeeseen perustuen potilaan tilanarvion, jatkohoitopaikan ja kuljetuksen aikaisen hoidon tai ohjata kuljettamatta jätettyä potilasta jatkohoitoon liittyvissä asioissa.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viestiä ammatillisesti hoito- ja konsultaatiotilanteissa potilaan ja hänen ensihoitoonsa osallistuvan tiimin kanssa sekä raportoida ensihoitolääkärille hoito-ohjeen määräämisen kannalta relevantit asiat.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kirjata</w:t>
            </w:r>
            <w:r w:rsidRPr="00ED3A69">
              <w:rPr>
                <w:rFonts w:ascii="Tahoma" w:eastAsia="Times New Roman" w:hAnsi="Tahoma" w:cs="Tahoma"/>
                <w:i/>
                <w:sz w:val="20"/>
                <w:szCs w:val="20"/>
                <w:lang w:eastAsia="fi-FI"/>
              </w:rPr>
              <w:t xml:space="preserve"> </w:t>
            </w: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potilaan tilaa, tilannetta ja tapahtumia koskevat havainnot, hoitopäätökset, toteutetun hoidon ja vaikuttavuuden kirjaamista koskevien säännösten ja kriteerien mukaisesti sekä raportoida jatkohoitopaikkaan</w:t>
            </w:r>
            <w:r w:rsidRPr="00ED3A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potilaan hoidon saumattoman jatkumisen kannalta oleelliset tiedot.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perustelemaan ratkaisunsa luotettavaan näyttöön perustuen ja hyödyntämään aktiivisesti uusinta tieteellistä tietoa ammatillisessa päätöksenteossa sekä hoitotason ensihoidon kehittämisessä.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Kykenee kiireettömissä tilanteissa toimimaan terveydenhuollon asiantuntijana potilaan tilan arvioinnissa.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Hoitotason ensihoitajan eettinen ja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juridinen vastuu, velvoitteet ja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osaamistavoitteet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Näyttöön perustuva ensihoito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Työparityöskentely hoitotasolla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ABCDE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proofErr w:type="gramStart"/>
            <w:r w:rsidRPr="00ED3A69">
              <w:rPr>
                <w:rFonts w:ascii="Tahoma" w:eastAsia="Calibri" w:hAnsi="Tahoma" w:cs="Tahoma"/>
                <w:sz w:val="20"/>
                <w:szCs w:val="20"/>
              </w:rPr>
              <w:t>Elvytystä ennakoivien elintoimintojen</w:t>
            </w:r>
            <w:proofErr w:type="gramEnd"/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muutosten tunnistaminen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Hoitoelvytys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Hoitoelvytyksen johtaminen, potilaan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jälkihoito 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Hoitotason ensihoitoa vaativien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peruselintoimintojen häiriöiden ja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potilaan henkeä uhkaavien tilanteiden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tunnistaminen ja ennakointi 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Hoitotason ensihoidon menetelmät,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hoitopäätösten tekeminen, vaihtoehtoj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en analysointi ja perusteleminen. 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 xml:space="preserve">Kirjaaminen ja raportointi osana 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hoitovastuuta: kirjaamisen juridiset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perusteet, kirjaamisen ja raportoinnin</w:t>
            </w:r>
          </w:p>
          <w:p w:rsidR="00ED3A69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sisältö ja logiikka</w:t>
            </w:r>
          </w:p>
          <w:p w:rsidR="0015301C" w:rsidRPr="00ED3A69" w:rsidRDefault="00ED3A69" w:rsidP="00ED3A69">
            <w:pPr>
              <w:spacing w:after="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ED3A69">
              <w:rPr>
                <w:rFonts w:ascii="Tahoma" w:eastAsia="Calibri" w:hAnsi="Tahoma" w:cs="Tahoma"/>
                <w:sz w:val="20"/>
                <w:szCs w:val="20"/>
              </w:rPr>
              <w:t>ISBAR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Ensihoitolääke-tiede ja farmakologia </w:t>
            </w:r>
          </w:p>
          <w:p w:rsidR="0015301C" w:rsidRPr="00ED3A69" w:rsidRDefault="0015301C" w:rsidP="00ED3A69">
            <w:pPr>
              <w:spacing w:after="0"/>
              <w:rPr>
                <w:rFonts w:ascii="Tahoma" w:eastAsia="Calibri" w:hAnsi="Tahoma" w:cs="Tahoma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bCs/>
                <w:sz w:val="20"/>
                <w:szCs w:val="20"/>
                <w:lang w:eastAsia="fi-FI"/>
              </w:rPr>
              <w:t>Hallitsee lääketieteellisesti luotettavien tietolähteiden käytön ja osaa s</w:t>
            </w: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oveltaa turvallisesti uusinta lääketieteellistä ja farmakologiasta tietoa hoitotason ensihoitotehtävissä.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noudattamaan valtakunnallisia ja sairaanhoitopiirin hoito-ohjeita sekä sairaalan ulkopuolella toteutettavaan lääkehoidon säännöksiä, ohjeita, lupia sekä hoitotason ensihoitajan vastuita ja velvoitteita.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Hallitsee itsenäisesti kriittisesti sairastuneen tai vammapotilaan lääkehoidon toteuttamisen hoitotason lääkkeillä, potilaan peruslääkityksen huomioon ottaen.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Osaa toteuttaa turvallisesti vaativat hoitotason hoitotoimenpiteet.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arvioida luotettavasti lääketieteellisen hoidon vaikuttavuutta, varautua komplikaatioihin ja toimia oikein niiden ilmaantuessa.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Hemodynaamisesti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epävakaa potilas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Koronaaripotilaan ensihoito, rytmihäiriöt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ja 14-kytkentäisen EKG:n tulkinta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Sydänperäisen rintakivun hoito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parenteraalisesti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opiaatilla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, sedatiivilla, 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antiemeetillä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nitro- ja dopamiini-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infuusiolla sekä β-salpaajalla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Vaikea hengitysvajaus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Ensihoidollisesti merkittävät infektiot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Aivokatastrofit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Aivovammapotilas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Monivammapotilas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Mielenterveyspotilaat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Myrkytykset ja lääkkeiden yliannostus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Päihteet, niiden farmakologiset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toksikologiset vaikutukset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Palovammapotilaat, gynekologiset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hätätilanteet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Lapsipotilaan hätätilanteet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Eri ikäisten</w:t>
            </w:r>
            <w:proofErr w:type="gram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lasten lääkehoito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intraosseaalisen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infuusion aloittaminen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proofErr w:type="gram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Hypotermisen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hukkuneen potilaan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ensihoito</w:t>
            </w:r>
            <w:proofErr w:type="gramEnd"/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Potilaan kivun arviointi ja iv-lääkehoito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Hypovoleemisen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sokin nestehoito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massiivinen nesteensiirto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Aivoinfark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ti, liuotushoidon indikaatiot ja </w:t>
            </w: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aikaikkunat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Kouristelevan potilaan hoito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laskimonsisäisellä lääkkeellä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Ulomman kaulalaskimon kanylointi,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hätätorakosenteesi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krikotyreotomia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sydämen ulkoinen tahdistus,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intraosseaali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neulan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-</w:t>
            </w: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poran käyttö,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</w:t>
            </w:r>
            <w:proofErr w:type="gram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infuusion aloittaminen, </w:t>
            </w: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kenttäsedaatio</w:t>
            </w:r>
            <w:proofErr w:type="spellEnd"/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ja tarvittaessa potilaan ilmatien</w:t>
            </w:r>
          </w:p>
          <w:p w:rsidR="0015301C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varmistaminen oikealla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välineellä.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Ensihoidon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 w:rsidRPr="00ED3A6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teknologian käyttö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Hallitsee hoitotason ensihoidon tutkimus- ja hoitovälineistön turvallisen ja tarkoituksenmukaisen käytön.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Osaa tulkita luotettavasti tutkimusvälineistön avulla saatua tietoa ja hyödyntää tietoa tarkoituksenmukaisesti potilaan tilan arvioinnissa.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Osaa käyttää VIRVE – verkkoa ja - päätelaitteita sekä muita ensihoidon sähköisiä tiedonsiirto- ja viestintävälineitä ja hallitsee </w:t>
            </w: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VIRVEn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puheryhmien käytön jokapäiväisissä tilanteissa.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seuraamaan ensihoito- ja viestintäteknologian kehitystä sekä tutkimaan ja kehittämään sitä työssään.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Potilaan hoitoon ja valvontaan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tarvittavien laitteiden käyttö: EKG-laite,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sydämen ulkoiseen tahdistukseen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käytettävä välineistö, pulssioksimetri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kapnometri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verenpaineen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mittausvälineistö</w:t>
            </w:r>
            <w:proofErr w:type="gram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(manuaalinen,</w:t>
            </w:r>
            <w:proofErr w:type="gramEnd"/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automaattinen), neuvova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manuaalinen </w:t>
            </w: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defibrillaattori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imulaite,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CPAP-laitteisto, ruisku- ja infuusiopumput, </w:t>
            </w: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intraosseaaliporat</w:t>
            </w:r>
            <w:proofErr w:type="spellEnd"/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ja -tykit, verensokeri- ja lämpömittari,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respiraattori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Sähköinen kirjaaminen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VIRVE, sen päätelaitteiden sekä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sähköisten tiedonsiirtomenetelmien</w:t>
            </w:r>
          </w:p>
          <w:p w:rsidR="0015301C" w:rsidRPr="00ED3A69" w:rsidRDefault="00ED3A69" w:rsidP="00ED3A69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oikeaoppinen käyttö viestinnässä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Ensihoitotyön johtaminen</w:t>
            </w:r>
          </w:p>
          <w:p w:rsidR="0015301C" w:rsidRPr="00ED3A69" w:rsidRDefault="0015301C" w:rsidP="00ED3A69">
            <w:pPr>
              <w:spacing w:after="0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Hallitsee</w:t>
            </w:r>
            <w:proofErr w:type="gram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systemaattisen työparityöskentelyn periaatteet ja työnjaon eri rooleissa (hoitaja 1, hoitaja 2) hoitotason ensihoitotilanteissa.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toimia tilannejohtajana yhden ja useamman yksikön ensihoitotilanteissa CRM- ajattelua ja työturvallisuutta noudattaen ja tukea tilannejohtajaa työparina (hoitaja 2) tai ensihoitotiimin jäsenenä toimiessaan.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Ymmärtää kenttäjohtajan ja ensihoidon/vuoron esimiehen merkityksen ja kykenee vastaamaan alaisuudessaan toimivien ensihoitoyksiköiden ja -henkilöstön koordinoinnista ja ohjauksesta.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Osaa kehittää ensihoitoa ja ensihoidon johtamista toimimalla asiantuntijana </w:t>
            </w: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kehittämis</w:t>
            </w:r>
            <w:proofErr w:type="spellEnd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-, innovaatio - ja tutkimusprosesseissa.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toimia opiskelijanohjaajana.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hyödyntää yhteiskunnallisen vaikuttamisen ja median mahdollisuuksia ensihoidon kehittämisessä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Terveydenhuoltolaki, asetus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ensihoitopalvelusta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Palvelutasopäätökset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Ensihoitokeskuksen ohjeistukset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viestiohjeet (valtakunnalliset, alueelliset),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alueelliset valmiussopimukset,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potilasohjausohjeet, konsultaatio-ohjeet,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hoito-ohjeet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Päivittäisjohtaminen ja esimiestyö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Tilannejohtaminen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Monipotilastilanteet, useamman yksikön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tilanteet ja tilannejohtaminen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Johtamisosaaminen ja alaistyöskentely 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CRM, potilasturvallisuus, työturvallisuus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Asiakaspalautteet, niiden käsittely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hyödyntäminen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Ensihoitojärjestelmän kehittäminen,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näyttöön perustuva johtaminen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kehittäminen.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ED3A6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Ensihoidon palvelu-järjestelmä ja </w:t>
            </w:r>
            <w:proofErr w:type="spellStart"/>
            <w:r w:rsidRPr="00ED3A6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viranomais</w:t>
            </w:r>
            <w:proofErr w:type="spellEnd"/>
            <w:r w:rsidRPr="00ED3A6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-yhteistyö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Osaa toimia hoitotason ensihoitajana alueensa ensihoidon palvelujärjestelmässä yhteistyössä muiden viranomaisten kanssa sovittujen toimintatapojen ja suunnitelmien mukaisesti.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arvioida ensihoitopalvelun, kenttäjohdon ja muiden viranomaisten toimintaa ja johtamista.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Osaa monipotilas- ja suuronnettomuustilanteeseen liittyvän potilasluokittelun ja toimia tilannejohtajana tai luokitus-, hoito- ja kuljetussektorin ensihoitajana.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Ymmärtää sosiaali- ja terveysministeriön valmiusyksikön ja sisäasiainministeriön poliisiosaston alaisen taktisen ensihoidon merkityksen ja erityispiirteet.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Osaa käyttää ensihoidon tiedonsiirto- ja viestintävälineistöä kommunikoidessaan eri viranomaisten kanssa.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Terveydenhuoltolaki, ensihoitoasetus 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Alueen ensihoitojärjestelmä,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johtamisjärjestelmä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suuronnettomuusvalmius 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Sosiaali- ja terveydenhuollon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varautuminen erityistilanteisiin</w:t>
            </w:r>
            <w:proofErr w:type="gram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(STM</w:t>
            </w:r>
            <w:proofErr w:type="gramEnd"/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ohje), alueelliset sosiaali- ja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terveydenhuollon valmiussuunnitelmat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ja varautumisohjeet, valmiuslaki, </w:t>
            </w:r>
            <w:proofErr w:type="spellStart"/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STM:n</w:t>
            </w:r>
            <w:proofErr w:type="spellEnd"/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ohjeet: Terveydenhuollon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valmiussuunnitteluopas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Sosiaalitoimen valmiussuunnittelu-opas,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Ensihoidon palvelutaso-ohje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VIRVE, puheryhmien käyttö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suuronnettomuuksissa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Karttajohtaminen, reaaliaikaisen</w:t>
            </w:r>
          </w:p>
          <w:p w:rsidR="00ED3A69" w:rsidRPr="00ED3A69" w:rsidRDefault="00ED3A69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paikannusohjelman käyttö,</w:t>
            </w:r>
          </w:p>
          <w:p w:rsidR="0015301C" w:rsidRPr="00ED3A69" w:rsidRDefault="00ED3A69" w:rsidP="00ED3A69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tilannekuvatyökalujen käyttö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Sairaanhoito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Osaa työskennellä hoitotyön ammatillisia, eettisiä ja potilasturvallisuuden periaatteita noudattaen.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käyttää vaikuttavia, näyttöön perustuvia terveyden ja toimintakyvyn edistämisen menetelmiä ja hoitotyön auttamismenetelmiä erityisesti akuuttihoitotyön asiantuntemusta vaativissa tilanteissa.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D3A6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toteuttamaan akuuttihoitotyön osalta yleisempien sairausryhmien keskeiset toimenpiteet ja tutkimukset, niihin valmistelun, ohjauksen, toteuttamisen ja suhteuttaa tulosten merkityksen potilaan / asiakkaan kokonaishoitoon.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ED3A69" w:rsidRDefault="0015301C" w:rsidP="00ED3A6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</w:p>
        </w:tc>
      </w:tr>
    </w:tbl>
    <w:p w:rsidR="0015301C" w:rsidRDefault="0015301C" w:rsidP="0015301C">
      <w:pPr>
        <w:spacing w:after="0"/>
        <w:rPr>
          <w:rFonts w:ascii="Tahoma" w:hAnsi="Tahoma" w:cs="Tahoma"/>
          <w:sz w:val="20"/>
          <w:szCs w:val="20"/>
        </w:rPr>
      </w:pPr>
    </w:p>
    <w:p w:rsidR="0015301C" w:rsidRDefault="0015301C" w:rsidP="0015301C">
      <w:pPr>
        <w:spacing w:after="0"/>
        <w:rPr>
          <w:rFonts w:ascii="Tahoma" w:hAnsi="Tahoma" w:cs="Tahoma"/>
          <w:sz w:val="20"/>
          <w:szCs w:val="20"/>
        </w:rPr>
      </w:pPr>
    </w:p>
    <w:p w:rsidR="0015301C" w:rsidRDefault="0015301C" w:rsidP="0015301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TE16SP_4</w:t>
      </w:r>
    </w:p>
    <w:p w:rsidR="0015301C" w:rsidRDefault="0015301C" w:rsidP="0015301C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45"/>
      </w:tblGrid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15301C" w:rsidRPr="0015301C" w:rsidRDefault="0015301C" w:rsidP="0015301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15301C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Sairaanhoitajan </w:t>
            </w:r>
            <w:r w:rsidRPr="0015301C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br/>
              <w:t>ammatilliset</w:t>
            </w:r>
            <w:r w:rsidRPr="0015301C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br/>
              <w:t>kompetenssit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15301C" w:rsidRPr="0015301C" w:rsidRDefault="0015301C" w:rsidP="0015301C">
            <w:pPr>
              <w:spacing w:before="120" w:after="120"/>
              <w:rPr>
                <w:rFonts w:ascii="Tahoma" w:hAnsi="Tahoma" w:cs="Tahoma"/>
                <w:b/>
                <w:snapToGrid w:val="0"/>
                <w:color w:val="FFFFFF" w:themeColor="background1"/>
                <w:sz w:val="24"/>
                <w:szCs w:val="24"/>
              </w:rPr>
            </w:pPr>
            <w:r w:rsidRPr="0015301C">
              <w:rPr>
                <w:rFonts w:ascii="Tahoma" w:hAnsi="Tahoma" w:cs="Tahoma"/>
                <w:b/>
                <w:snapToGrid w:val="0"/>
                <w:color w:val="FFFFFF" w:themeColor="background1"/>
                <w:sz w:val="24"/>
                <w:szCs w:val="24"/>
              </w:rPr>
              <w:t>Osaamisen kuvaus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kohdata asiakkaan/perheen/yhteisön jäsenen oman</w:t>
            </w:r>
            <w:r w:rsidRPr="0015301C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 xml:space="preserve"> </w:t>
            </w:r>
            <w:r w:rsidRPr="0015301C">
              <w:rPr>
                <w:rFonts w:ascii="Tahoma" w:eastAsia="Times New Roman" w:hAnsi="Tahoma" w:cs="Tahoma"/>
                <w:bCs/>
                <w:sz w:val="20"/>
                <w:szCs w:val="20"/>
              </w:rPr>
              <w:t>elämänsä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 xml:space="preserve"> asiantuntijana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kohdata asiakkaan aktiivisena toimijana omassa hoidossaan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5301C">
              <w:rPr>
                <w:rFonts w:ascii="Tahoma" w:hAnsi="Tahoma" w:cs="Tahoma"/>
                <w:sz w:val="20"/>
                <w:szCs w:val="20"/>
              </w:rPr>
              <w:t>saa tukea läheisten hoitoon osallistumista asiakkaan näkemyksiä ja voimavaroja kunnioittaen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ykenee ammatilliseen ja hoidolliseen vuorovaikutuksen eri-ikäisten asiakkaiden ja heidän läheistensä kanssa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Hoitotyön eettisyys ja ammatillisuus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toimia työssään hoitotyön arvojen ja eettisten periaatteiden mukaisesti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ymmärtää</w:t>
            </w:r>
            <w:proofErr w:type="gramEnd"/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 xml:space="preserve"> terveysalan yrittäjyyden perusteet  ja merkityksen osana palvelujärjestelmää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15301C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Sosiaali- ja terveydenhuollon toimintaympäristö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ymmärtää sosiaali- ja terveydenhuollon organisoinnin, palvelujen tuottamisen ja järjestämisen tavat, ohjauksen ja valvonnan Suomessa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tietää ja osaa seurata sosiaali- ja terveydenhuollon keskeisiä /ajankohtaisia toimenpideohjelmia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ohjata asiakasta/potilasta käyttämään tarkoituksenmukaisia julkisen ja yksityisen sektorin sosiaali- ja terveydenhuollon sekä 3 – sektorin palveluita terveyden ja hyvinvoinnin edistämiseksi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hyödyntää sähköisiä palveluita osana potilaan / asiakkaan kokonaishoitoa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Kliininen hoitotyö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 xml:space="preserve">kykenee käyttämään erilaisia auttamismenetelmiä potilaan </w:t>
            </w:r>
            <w:proofErr w:type="spellStart"/>
            <w:r w:rsidRPr="0015301C">
              <w:rPr>
                <w:rFonts w:ascii="Tahoma" w:hAnsi="Tahoma" w:cs="Tahoma"/>
                <w:sz w:val="20"/>
                <w:szCs w:val="20"/>
              </w:rPr>
              <w:t>psykososiaalisessa</w:t>
            </w:r>
            <w:proofErr w:type="spellEnd"/>
            <w:r w:rsidRPr="0015301C">
              <w:rPr>
                <w:rFonts w:ascii="Tahoma" w:hAnsi="Tahoma" w:cs="Tahoma"/>
                <w:sz w:val="20"/>
                <w:szCs w:val="20"/>
              </w:rPr>
              <w:t xml:space="preserve"> tukemisessa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h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15301C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5301C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</w:t>
            </w:r>
            <w:r w:rsidRPr="0015301C">
              <w:rPr>
                <w:rStyle w:val="Kommentinviite"/>
                <w:rFonts w:ascii="Tahoma" w:hAnsi="Tahoma" w:cs="Tahoma"/>
                <w:sz w:val="20"/>
                <w:szCs w:val="20"/>
              </w:rPr>
              <w:t xml:space="preserve"> </w:t>
            </w:r>
            <w:r w:rsidRPr="0015301C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y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5301C">
              <w:rPr>
                <w:rFonts w:ascii="Tahoma" w:hAnsi="Tahoma" w:cs="Tahoma"/>
                <w:sz w:val="20"/>
                <w:szCs w:val="20"/>
              </w:rPr>
              <w:t>y</w:t>
            </w: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mmärtää</w:t>
            </w:r>
            <w:proofErr w:type="gramEnd"/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sairauksien syntymekanismit ja 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niiden aiheuttamat muutokset elimistössä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saa soveltaa suomalaisia ravitsemussuosituksia kansansairauksien ehkäisyssä ja hoidossa/hoitotyössä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osaa integroida ravitsemushoitoa ja -ohjausta yhteistyössä monialaisen asiantuntijaverkoston kanssa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 xml:space="preserve">saa toteuttaa erilaisia </w:t>
            </w:r>
            <w:proofErr w:type="spellStart"/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sisä</w:t>
            </w:r>
            <w:proofErr w:type="spellEnd"/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- ja syöpäsairauksia sairastavien potilaiden hoitotyötä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saa toteuttaa kirurgista hoitoa tarvitsevan potilaan hoitotyötä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saa tukea ja edistää lapsiperheiden hyvinvointia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mmärtää raskauden, synnytyksen ja lapsivuodeajan normaalin kulun ja seurannan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mmärtää mielenterveyden ja päihteiden käytön vaikutuksen ihmisen ja hänen perheensä hyvinvointiin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saa tukea akuutissa kriisissä olevan asiakasta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saa tukea iäkkään ihmisen hyvinvoinnin, terveyden ja toimintakyvyn saavuttamista ja säilyttämistä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mmärtää arvioida kiireellistä hoitoa tarvitsevan potilaan hoidontarpeen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saa tukea kiireellistä hoitoa tarvitsevaa potilasta ja hänen läheisiään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5301C">
              <w:rPr>
                <w:rFonts w:ascii="Tahoma" w:hAnsi="Tahoma" w:cs="Tahoma"/>
                <w:sz w:val="20"/>
                <w:szCs w:val="20"/>
              </w:rPr>
              <w:t>saa toteuttaa parantumattomasti sairaan ja pitkäaikaissairaan potilaan oireenmukaista ja inhimillistä hoitotyötä ja tukea hänen läheisiään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Näyttöön perustuva toiminta ja päätöksenteko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määritellä hoitotyön tarpeen, suunnitella, toteuttaa ja arvioida hoitotyötä päätöksentekoprosessin mukaisesti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 xml:space="preserve">kykenee osallistumaan </w:t>
            </w:r>
            <w:proofErr w:type="spellStart"/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kehittämis</w:t>
            </w:r>
            <w:proofErr w:type="spellEnd"/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-, innovaatio - ja tutkimusprosesseihin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 xml:space="preserve"> merkityksen sosiaali- ja terveydenhuollossa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kykenee tunnistamaan ja kriittisesti arvioimaan toimintaansa ja toimintakäytänteitä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Ohjaus- ja opetusosaaminen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454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454"/>
              <w:rPr>
                <w:rFonts w:ascii="Tahoma" w:eastAsia="Calibri" w:hAnsi="Tahoma" w:cs="Tahoma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sz w:val="20"/>
                <w:szCs w:val="20"/>
              </w:rPr>
              <w:t>ymmärtää terveyden edistämisen taloudellisia lähtökohtia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454"/>
              <w:rPr>
                <w:rFonts w:ascii="Tahoma" w:eastAsia="Calibri" w:hAnsi="Tahoma" w:cs="Tahoma"/>
                <w:sz w:val="20"/>
                <w:szCs w:val="20"/>
              </w:rPr>
            </w:pPr>
            <w:r w:rsidRPr="0015301C">
              <w:rPr>
                <w:rFonts w:ascii="Tahoma" w:eastAsia="Calibri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454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kykenee tunnistamaan kansanterveysongelmia aiheuttavia tekijöitä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hAnsi="Tahoma" w:cs="Tahoma"/>
                <w:kern w:val="24"/>
                <w:sz w:val="20"/>
                <w:szCs w:val="20"/>
              </w:rPr>
              <w:t>kykenee suunnittelemaan, toteuttamaan ja arvioimaan terveyden ja toimintakyvyn edistämisen interventioita yksilö-, ryhmä- ja yhteisötasoilla</w:t>
            </w:r>
            <w:r w:rsidRPr="0015301C">
              <w:rPr>
                <w:rFonts w:ascii="Tahoma" w:hAnsi="Tahoma" w:cs="Tahoma"/>
                <w:sz w:val="20"/>
                <w:szCs w:val="20"/>
              </w:rPr>
              <w:t xml:space="preserve"> hyödyntäen moniasiantuntija- ja moniammatillista verkostoa</w:t>
            </w:r>
          </w:p>
        </w:tc>
      </w:tr>
      <w:tr w:rsidR="0015301C" w:rsidRPr="0015301C" w:rsidTr="00533C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5301C">
              <w:rPr>
                <w:rFonts w:ascii="Tahoma" w:hAnsi="Tahoma" w:cs="Tahoma"/>
                <w:b/>
                <w:sz w:val="20"/>
                <w:szCs w:val="20"/>
              </w:rPr>
              <w:t>Sosiaali- ja terveyspalvelujen laatu ja turvallisuus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osoittaa vastuunsa hoitotyön laadusta omassa toiminnassaan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kykenee arvioimaan hoitotyön laatua ja menetelmiä hoitoprosessin kaikissa vaiheissa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ymmärtää tietoturvallisuuden merkityksen hoitoprosessissa</w:t>
            </w:r>
          </w:p>
          <w:p w:rsidR="0015301C" w:rsidRPr="0015301C" w:rsidRDefault="0015301C" w:rsidP="0015301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5301C">
              <w:rPr>
                <w:rFonts w:ascii="Tahoma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</w:tbl>
    <w:p w:rsidR="0015301C" w:rsidRPr="0015301C" w:rsidRDefault="0015301C" w:rsidP="0015301C">
      <w:pPr>
        <w:spacing w:after="0"/>
        <w:rPr>
          <w:rFonts w:ascii="Tahoma" w:hAnsi="Tahoma" w:cs="Tahoma"/>
          <w:sz w:val="20"/>
          <w:szCs w:val="20"/>
        </w:rPr>
      </w:pPr>
    </w:p>
    <w:sectPr w:rsidR="0015301C" w:rsidRPr="001530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13"/>
    <w:rsid w:val="0001124C"/>
    <w:rsid w:val="0009455D"/>
    <w:rsid w:val="0015301C"/>
    <w:rsid w:val="001F6338"/>
    <w:rsid w:val="002A6E45"/>
    <w:rsid w:val="00533C36"/>
    <w:rsid w:val="00547BB3"/>
    <w:rsid w:val="00702DB3"/>
    <w:rsid w:val="00ED3A69"/>
    <w:rsid w:val="00F62C13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E923-D463-4CB7-8A97-B5A7FDE9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62C1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5301C"/>
    <w:pPr>
      <w:ind w:left="720"/>
      <w:contextualSpacing/>
    </w:pPr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1530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2324</Words>
  <Characters>18831</Characters>
  <Application>Microsoft Office Word</Application>
  <DocSecurity>0</DocSecurity>
  <Lines>156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5</cp:revision>
  <dcterms:created xsi:type="dcterms:W3CDTF">2016-01-29T06:43:00Z</dcterms:created>
  <dcterms:modified xsi:type="dcterms:W3CDTF">2016-01-29T07:02:00Z</dcterms:modified>
</cp:coreProperties>
</file>