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247"/>
        <w:gridCol w:w="6551"/>
      </w:tblGrid>
      <w:tr w:rsidR="004C4B2C" w:rsidRPr="00E42502" w:rsidTr="001D67EA">
        <w:tc>
          <w:tcPr>
            <w:tcW w:w="1980" w:type="dxa"/>
            <w:tcBorders>
              <w:top w:val="single" w:sz="4" w:space="0" w:color="000000"/>
              <w:left w:val="single" w:sz="4" w:space="0" w:color="000000"/>
              <w:bottom w:val="single" w:sz="4" w:space="0" w:color="000000"/>
              <w:right w:val="single" w:sz="4" w:space="0" w:color="000000"/>
            </w:tcBorders>
            <w:shd w:val="clear" w:color="auto" w:fill="33CCCC"/>
            <w:hideMark/>
          </w:tcPr>
          <w:p w:rsidR="004C4B2C" w:rsidRPr="001D67EA" w:rsidRDefault="004C4B2C" w:rsidP="001D67EA">
            <w:pPr>
              <w:spacing w:before="120" w:after="120" w:line="240" w:lineRule="auto"/>
              <w:rPr>
                <w:rFonts w:ascii="Tahoma" w:eastAsia="Times New Roman" w:hAnsi="Tahoma" w:cs="Tahoma"/>
                <w:b/>
                <w:color w:val="FFFFFF" w:themeColor="background1"/>
                <w:sz w:val="24"/>
                <w:szCs w:val="24"/>
              </w:rPr>
            </w:pPr>
            <w:r w:rsidRPr="001D67EA">
              <w:rPr>
                <w:rFonts w:ascii="Tahoma" w:eastAsia="Times New Roman" w:hAnsi="Tahoma" w:cs="Tahoma"/>
                <w:b/>
                <w:color w:val="FFFFFF" w:themeColor="background1"/>
                <w:sz w:val="24"/>
                <w:szCs w:val="24"/>
              </w:rPr>
              <w:t>Rakenne</w:t>
            </w:r>
          </w:p>
        </w:tc>
        <w:tc>
          <w:tcPr>
            <w:tcW w:w="1247" w:type="dxa"/>
            <w:tcBorders>
              <w:top w:val="single" w:sz="4" w:space="0" w:color="000000"/>
              <w:left w:val="single" w:sz="4" w:space="0" w:color="000000"/>
              <w:bottom w:val="single" w:sz="4" w:space="0" w:color="000000"/>
              <w:right w:val="single" w:sz="4" w:space="0" w:color="000000"/>
            </w:tcBorders>
            <w:shd w:val="clear" w:color="auto" w:fill="33CCCC"/>
            <w:hideMark/>
          </w:tcPr>
          <w:p w:rsidR="004C4B2C" w:rsidRPr="001D67EA" w:rsidRDefault="004C4B2C" w:rsidP="001D67EA">
            <w:pPr>
              <w:spacing w:before="120" w:after="120" w:line="240" w:lineRule="auto"/>
              <w:rPr>
                <w:rFonts w:ascii="Tahoma" w:eastAsia="Times New Roman" w:hAnsi="Tahoma" w:cs="Tahoma"/>
                <w:b/>
                <w:color w:val="FFFFFF" w:themeColor="background1"/>
                <w:sz w:val="24"/>
                <w:szCs w:val="24"/>
              </w:rPr>
            </w:pPr>
            <w:r w:rsidRPr="001D67EA">
              <w:rPr>
                <w:rFonts w:ascii="Tahoma" w:eastAsia="Times New Roman" w:hAnsi="Tahoma" w:cs="Tahoma"/>
                <w:b/>
                <w:color w:val="FFFFFF" w:themeColor="background1"/>
                <w:sz w:val="24"/>
                <w:szCs w:val="24"/>
              </w:rPr>
              <w:t>Laajuus</w:t>
            </w:r>
          </w:p>
        </w:tc>
        <w:tc>
          <w:tcPr>
            <w:tcW w:w="6551" w:type="dxa"/>
            <w:tcBorders>
              <w:top w:val="single" w:sz="4" w:space="0" w:color="000000"/>
              <w:left w:val="single" w:sz="4" w:space="0" w:color="000000"/>
              <w:bottom w:val="single" w:sz="4" w:space="0" w:color="000000"/>
              <w:right w:val="single" w:sz="4" w:space="0" w:color="000000"/>
            </w:tcBorders>
            <w:shd w:val="clear" w:color="auto" w:fill="33CCCC"/>
            <w:hideMark/>
          </w:tcPr>
          <w:p w:rsidR="004C4B2C" w:rsidRPr="001D67EA" w:rsidRDefault="004C4B2C" w:rsidP="001D67EA">
            <w:pPr>
              <w:spacing w:before="120" w:after="120" w:line="240" w:lineRule="auto"/>
              <w:rPr>
                <w:rFonts w:ascii="Tahoma" w:eastAsia="Times New Roman" w:hAnsi="Tahoma" w:cs="Tahoma"/>
                <w:b/>
                <w:color w:val="FFFFFF" w:themeColor="background1"/>
                <w:sz w:val="24"/>
                <w:szCs w:val="24"/>
              </w:rPr>
            </w:pPr>
            <w:r w:rsidRPr="001D67EA">
              <w:rPr>
                <w:rFonts w:ascii="Tahoma" w:eastAsia="Times New Roman" w:hAnsi="Tahoma" w:cs="Tahoma"/>
                <w:b/>
                <w:color w:val="FFFFFF" w:themeColor="background1"/>
                <w:sz w:val="24"/>
                <w:szCs w:val="24"/>
              </w:rPr>
              <w:t>Luonnehdinta opinnoista lyhyesti</w:t>
            </w:r>
          </w:p>
        </w:tc>
      </w:tr>
      <w:tr w:rsidR="004C4B2C" w:rsidRPr="001D67EA" w:rsidTr="001D67EA">
        <w:tc>
          <w:tcPr>
            <w:tcW w:w="19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 xml:space="preserve">Perusopinnot  </w:t>
            </w:r>
            <w:r w:rsidRPr="001D67EA">
              <w:rPr>
                <w:rFonts w:ascii="Tahoma" w:eastAsia="Times New Roman" w:hAnsi="Tahoma" w:cs="Tahoma"/>
                <w:sz w:val="20"/>
                <w:szCs w:val="20"/>
              </w:rPr>
              <w:tab/>
            </w:r>
          </w:p>
        </w:tc>
        <w:tc>
          <w:tcPr>
            <w:tcW w:w="124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30 op</w:t>
            </w:r>
          </w:p>
        </w:tc>
        <w:tc>
          <w:tcPr>
            <w:tcW w:w="655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2D30F5" w:rsidP="001D67EA">
            <w:pPr>
              <w:shd w:val="clear" w:color="auto" w:fill="FFFFFF" w:themeFill="background1"/>
              <w:spacing w:before="100" w:beforeAutospacing="1" w:after="100" w:afterAutospacing="1" w:line="240" w:lineRule="auto"/>
              <w:rPr>
                <w:rFonts w:ascii="Tahoma" w:eastAsia="Times New Roman" w:hAnsi="Tahoma" w:cs="Tahoma"/>
                <w:sz w:val="20"/>
                <w:szCs w:val="20"/>
                <w:lang w:eastAsia="fi-FI"/>
              </w:rPr>
            </w:pPr>
            <w:r w:rsidRPr="002D30F5">
              <w:rPr>
                <w:rFonts w:ascii="Tahoma" w:eastAsia="Times New Roman" w:hAnsi="Tahoma" w:cs="Tahoma"/>
                <w:sz w:val="20"/>
                <w:szCs w:val="20"/>
              </w:rPr>
              <w:t xml:space="preserve">Perusopinnoissa opiskelija perehtyy ammattikorkeakouluopiskeluun, koulutuksen tavoitteisiin ja sisältöön, </w:t>
            </w:r>
            <w:proofErr w:type="gramStart"/>
            <w:r w:rsidRPr="002D30F5">
              <w:rPr>
                <w:rFonts w:ascii="Tahoma" w:eastAsia="Times New Roman" w:hAnsi="Tahoma" w:cs="Tahoma"/>
                <w:sz w:val="20"/>
                <w:szCs w:val="20"/>
              </w:rPr>
              <w:t>hankkii</w:t>
            </w:r>
            <w:proofErr w:type="gramEnd"/>
            <w:r w:rsidRPr="002D30F5">
              <w:rPr>
                <w:rFonts w:ascii="Tahoma" w:eastAsia="Times New Roman" w:hAnsi="Tahoma" w:cs="Tahoma"/>
                <w:sz w:val="20"/>
                <w:szCs w:val="20"/>
              </w:rPr>
              <w:t xml:space="preserve"> perustiedot oman tutkinto-ohjelmansa alalta sekä kehittää yleisiä viestintä- ja kommunikaatiotaitojaan. Perusopinnot luovat perustan ammatilliselle kasvulle, vastuulliselle työskentelylle, elinikäiselle oppimiselle ja kehittymiselle.</w:t>
            </w:r>
          </w:p>
        </w:tc>
      </w:tr>
      <w:tr w:rsidR="004C4B2C" w:rsidRPr="001D67EA" w:rsidTr="001D67EA">
        <w:tc>
          <w:tcPr>
            <w:tcW w:w="19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Ammattiopinnot, teoriaopinnot</w:t>
            </w:r>
          </w:p>
        </w:tc>
        <w:tc>
          <w:tcPr>
            <w:tcW w:w="124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65 op</w:t>
            </w:r>
          </w:p>
        </w:tc>
        <w:tc>
          <w:tcPr>
            <w:tcW w:w="655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before="100" w:beforeAutospacing="1" w:after="100" w:afterAutospacing="1" w:line="240" w:lineRule="auto"/>
              <w:rPr>
                <w:rFonts w:ascii="Tahoma" w:eastAsia="Times New Roman" w:hAnsi="Tahoma" w:cs="Tahoma"/>
                <w:sz w:val="20"/>
                <w:szCs w:val="20"/>
                <w:lang w:eastAsia="fi-FI"/>
              </w:rPr>
            </w:pPr>
            <w:r w:rsidRPr="001D67EA">
              <w:rPr>
                <w:rFonts w:ascii="Tahoma" w:eastAsia="Times New Roman" w:hAnsi="Tahoma" w:cs="Tahoma"/>
                <w:sz w:val="20"/>
                <w:szCs w:val="20"/>
                <w:lang w:eastAsia="fi-FI"/>
              </w:rPr>
              <w:t xml:space="preserve">Ammattiopintojen aikana opiskelija perehtyy kliinisen laboratoriotyön ammatilliseen toimintaan ja sen teoreettisiin perusteisiin. </w:t>
            </w:r>
            <w:r w:rsidRPr="001D67EA">
              <w:rPr>
                <w:rFonts w:ascii="Tahoma" w:eastAsia="Times New Roman" w:hAnsi="Tahoma" w:cs="Tahoma"/>
                <w:sz w:val="20"/>
                <w:szCs w:val="20"/>
              </w:rPr>
              <w:t>Hän hankkii kliinisen laboratoriotyön eri osa-alueilla käytettävien perustutkimusten suorittamiseen tarvittavan osaamisen ja perusvalmiudet ammatinharjoittamiseen. Opintokokonaisuus sisältää teoreettista opiskelua, laboratorioluokissa tapahtuva harjoittelua sekä ohjattua harjoittelua kliinisissä laboratorioissa. Osa opiskelusta toteutuu ammattikorkeakoulun osaamiskeskittymissä, hankkeissa ja projekteissa. Osa opinnoista toteutetaan englanninkielellä ja t</w:t>
            </w:r>
            <w:r w:rsidRPr="001D67EA">
              <w:rPr>
                <w:rFonts w:ascii="Tahoma" w:eastAsia="Times New Roman" w:hAnsi="Tahoma" w:cs="Tahoma"/>
                <w:sz w:val="20"/>
                <w:szCs w:val="20"/>
                <w:lang w:eastAsia="fi-FI"/>
              </w:rPr>
              <w:t>utkintoon voidaan sisällyttää ulkomailla suoritettuja opintoja.</w:t>
            </w:r>
          </w:p>
        </w:tc>
      </w:tr>
      <w:tr w:rsidR="004C4B2C" w:rsidRPr="001D67EA" w:rsidTr="001D67EA">
        <w:tc>
          <w:tcPr>
            <w:tcW w:w="19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Ammattiopinnot harjoittelu/ Harjoittelu</w:t>
            </w:r>
          </w:p>
        </w:tc>
        <w:tc>
          <w:tcPr>
            <w:tcW w:w="124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Harjoittelu 75</w:t>
            </w:r>
          </w:p>
        </w:tc>
        <w:tc>
          <w:tcPr>
            <w:tcW w:w="655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autoSpaceDE w:val="0"/>
              <w:autoSpaceDN w:val="0"/>
              <w:spacing w:after="0" w:line="240" w:lineRule="auto"/>
              <w:rPr>
                <w:rFonts w:ascii="Tahoma" w:eastAsia="Times New Roman" w:hAnsi="Tahoma" w:cs="Tahoma"/>
                <w:iCs/>
                <w:sz w:val="20"/>
                <w:szCs w:val="20"/>
              </w:rPr>
            </w:pPr>
            <w:r w:rsidRPr="001D67EA">
              <w:rPr>
                <w:rFonts w:ascii="Tahoma" w:eastAsia="Times New Roman" w:hAnsi="Tahoma" w:cs="Tahoma"/>
                <w:iCs/>
                <w:sz w:val="20"/>
                <w:szCs w:val="20"/>
              </w:rPr>
              <w:t>Harjoittelussa opiskelija perehtyy ohjatusti käytännön työtehtäviin sekä tietojen ja taitojen soveltamiseen työelämässä. Harjoittelu valmentaa opiskelijaa työelämän vaatimuksiin syventämällä ammatillista osaamista ja auttaa työllistymään koulutusalaa vastaaviin tehtäviin. Harjoittelussa opiskelija vastaa</w:t>
            </w:r>
          </w:p>
          <w:p w:rsidR="004C4B2C" w:rsidRPr="001D67EA" w:rsidRDefault="004C4B2C" w:rsidP="001D67EA">
            <w:pPr>
              <w:numPr>
                <w:ilvl w:val="0"/>
                <w:numId w:val="1"/>
              </w:numPr>
              <w:shd w:val="clear" w:color="auto" w:fill="FFFFFF" w:themeFill="background1"/>
              <w:autoSpaceDE w:val="0"/>
              <w:autoSpaceDN w:val="0"/>
              <w:spacing w:after="0" w:line="240" w:lineRule="auto"/>
              <w:contextualSpacing/>
              <w:rPr>
                <w:rFonts w:ascii="Tahoma" w:eastAsia="Times New Roman" w:hAnsi="Tahoma" w:cs="Tahoma"/>
                <w:iCs/>
                <w:sz w:val="20"/>
                <w:szCs w:val="20"/>
              </w:rPr>
            </w:pPr>
            <w:r w:rsidRPr="001D67EA">
              <w:rPr>
                <w:rFonts w:ascii="Tahoma" w:eastAsia="Times New Roman" w:hAnsi="Tahoma" w:cs="Tahoma"/>
                <w:iCs/>
                <w:sz w:val="20"/>
                <w:szCs w:val="20"/>
              </w:rPr>
              <w:t>harjoittelupaikan hakemisesta ja harjoittelun tavoitteiden laatimisesta</w:t>
            </w:r>
          </w:p>
          <w:p w:rsidR="004C4B2C" w:rsidRPr="001D67EA" w:rsidRDefault="004C4B2C" w:rsidP="001D67EA">
            <w:pPr>
              <w:numPr>
                <w:ilvl w:val="0"/>
                <w:numId w:val="1"/>
              </w:numPr>
              <w:shd w:val="clear" w:color="auto" w:fill="FFFFFF" w:themeFill="background1"/>
              <w:autoSpaceDE w:val="0"/>
              <w:autoSpaceDN w:val="0"/>
              <w:spacing w:after="0" w:line="240" w:lineRule="auto"/>
              <w:contextualSpacing/>
              <w:rPr>
                <w:rFonts w:ascii="Tahoma" w:eastAsia="Times New Roman" w:hAnsi="Tahoma" w:cs="Tahoma"/>
                <w:iCs/>
                <w:sz w:val="20"/>
                <w:szCs w:val="20"/>
              </w:rPr>
            </w:pPr>
            <w:r w:rsidRPr="001D67EA">
              <w:rPr>
                <w:rFonts w:ascii="Tahoma" w:eastAsia="Times New Roman" w:hAnsi="Tahoma" w:cs="Tahoma"/>
                <w:iCs/>
                <w:sz w:val="20"/>
                <w:szCs w:val="20"/>
              </w:rPr>
              <w:t>harjoittelusta harjoittelusuunnitelman mukaisesti</w:t>
            </w:r>
          </w:p>
          <w:p w:rsidR="004C4B2C" w:rsidRPr="001D67EA" w:rsidRDefault="004C4B2C" w:rsidP="001D67EA">
            <w:pPr>
              <w:numPr>
                <w:ilvl w:val="0"/>
                <w:numId w:val="1"/>
              </w:numPr>
              <w:shd w:val="clear" w:color="auto" w:fill="FFFFFF" w:themeFill="background1"/>
              <w:autoSpaceDE w:val="0"/>
              <w:autoSpaceDN w:val="0"/>
              <w:spacing w:after="0" w:line="240" w:lineRule="auto"/>
              <w:contextualSpacing/>
              <w:rPr>
                <w:rFonts w:ascii="Tahoma" w:eastAsia="Times New Roman" w:hAnsi="Tahoma" w:cs="Tahoma"/>
                <w:iCs/>
                <w:sz w:val="20"/>
                <w:szCs w:val="20"/>
                <w:lang w:val="en-US"/>
              </w:rPr>
            </w:pPr>
            <w:r w:rsidRPr="001D67EA">
              <w:rPr>
                <w:rFonts w:ascii="Tahoma" w:eastAsia="Times New Roman" w:hAnsi="Tahoma" w:cs="Tahoma"/>
                <w:iCs/>
                <w:sz w:val="20"/>
                <w:szCs w:val="20"/>
              </w:rPr>
              <w:t>harjoittelun raportoinnista</w:t>
            </w:r>
          </w:p>
        </w:tc>
      </w:tr>
      <w:tr w:rsidR="004C4B2C" w:rsidRPr="001D67EA" w:rsidTr="001D67EA">
        <w:tc>
          <w:tcPr>
            <w:tcW w:w="19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4C4B2C" w:rsidRPr="001D67EA" w:rsidRDefault="004C4B2C" w:rsidP="00E8487C">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Opinnäytetyö</w:t>
            </w:r>
          </w:p>
        </w:tc>
        <w:tc>
          <w:tcPr>
            <w:tcW w:w="124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15 op</w:t>
            </w:r>
          </w:p>
        </w:tc>
        <w:tc>
          <w:tcPr>
            <w:tcW w:w="655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Opinnäytetyö on opiskelijan työ- ja oppimisprosessi, jota asiantuntijat tukevat, ohjaavat ja arvioivat. Opinnäytetyön tekemisessä opiskelija vastaa</w:t>
            </w:r>
          </w:p>
          <w:p w:rsidR="004C4B2C" w:rsidRPr="001D67EA" w:rsidRDefault="004C4B2C" w:rsidP="001D67EA">
            <w:pPr>
              <w:numPr>
                <w:ilvl w:val="0"/>
                <w:numId w:val="1"/>
              </w:numPr>
              <w:shd w:val="clear" w:color="auto" w:fill="FFFFFF" w:themeFill="background1"/>
              <w:autoSpaceDE w:val="0"/>
              <w:autoSpaceDN w:val="0"/>
              <w:spacing w:after="0" w:line="240" w:lineRule="auto"/>
              <w:contextualSpacing/>
              <w:rPr>
                <w:rFonts w:ascii="Tahoma" w:eastAsia="Times New Roman" w:hAnsi="Tahoma" w:cs="Tahoma"/>
                <w:iCs/>
                <w:sz w:val="20"/>
                <w:szCs w:val="20"/>
              </w:rPr>
            </w:pPr>
            <w:r w:rsidRPr="001D67EA">
              <w:rPr>
                <w:rFonts w:ascii="Tahoma" w:eastAsia="Times New Roman" w:hAnsi="Tahoma" w:cs="Tahoma"/>
                <w:iCs/>
                <w:sz w:val="20"/>
                <w:szCs w:val="20"/>
              </w:rPr>
              <w:t>opinnäytetyöidean ja työelämäyhteyden hakemisesta</w:t>
            </w:r>
          </w:p>
          <w:p w:rsidR="004C4B2C" w:rsidRPr="001D67EA" w:rsidRDefault="004C4B2C" w:rsidP="001D67EA">
            <w:pPr>
              <w:numPr>
                <w:ilvl w:val="0"/>
                <w:numId w:val="1"/>
              </w:numPr>
              <w:shd w:val="clear" w:color="auto" w:fill="FFFFFF" w:themeFill="background1"/>
              <w:autoSpaceDE w:val="0"/>
              <w:autoSpaceDN w:val="0"/>
              <w:spacing w:after="0" w:line="240" w:lineRule="auto"/>
              <w:contextualSpacing/>
              <w:rPr>
                <w:rFonts w:ascii="Tahoma" w:eastAsia="Times New Roman" w:hAnsi="Tahoma" w:cs="Tahoma"/>
                <w:iCs/>
                <w:sz w:val="20"/>
                <w:szCs w:val="20"/>
              </w:rPr>
            </w:pPr>
            <w:r w:rsidRPr="001D67EA">
              <w:rPr>
                <w:rFonts w:ascii="Tahoma" w:eastAsia="Times New Roman" w:hAnsi="Tahoma" w:cs="Tahoma"/>
                <w:iCs/>
                <w:sz w:val="20"/>
                <w:szCs w:val="20"/>
              </w:rPr>
              <w:t>opinnäytetyön tehtäväalueeseen perehtymisestä ja tehtävän asettamisesta</w:t>
            </w:r>
          </w:p>
          <w:p w:rsidR="004C4B2C" w:rsidRPr="001D67EA" w:rsidRDefault="004C4B2C" w:rsidP="001D67EA">
            <w:pPr>
              <w:numPr>
                <w:ilvl w:val="0"/>
                <w:numId w:val="1"/>
              </w:numPr>
              <w:shd w:val="clear" w:color="auto" w:fill="FFFFFF" w:themeFill="background1"/>
              <w:autoSpaceDE w:val="0"/>
              <w:autoSpaceDN w:val="0"/>
              <w:spacing w:after="0" w:line="240" w:lineRule="auto"/>
              <w:contextualSpacing/>
              <w:rPr>
                <w:rFonts w:ascii="Tahoma" w:eastAsia="Times New Roman" w:hAnsi="Tahoma" w:cs="Tahoma"/>
                <w:iCs/>
                <w:sz w:val="20"/>
                <w:szCs w:val="20"/>
              </w:rPr>
            </w:pPr>
            <w:r w:rsidRPr="001D67EA">
              <w:rPr>
                <w:rFonts w:ascii="Tahoma" w:eastAsia="Times New Roman" w:hAnsi="Tahoma" w:cs="Tahoma"/>
                <w:iCs/>
                <w:sz w:val="20"/>
                <w:szCs w:val="20"/>
              </w:rPr>
              <w:t>opinnäytetyön suorittamisesta</w:t>
            </w:r>
          </w:p>
          <w:p w:rsidR="004C4B2C" w:rsidRPr="001D67EA" w:rsidRDefault="004C4B2C" w:rsidP="001D67EA">
            <w:pPr>
              <w:numPr>
                <w:ilvl w:val="0"/>
                <w:numId w:val="1"/>
              </w:numPr>
              <w:shd w:val="clear" w:color="auto" w:fill="FFFFFF" w:themeFill="background1"/>
              <w:autoSpaceDE w:val="0"/>
              <w:autoSpaceDN w:val="0"/>
              <w:spacing w:after="0" w:line="240" w:lineRule="auto"/>
              <w:contextualSpacing/>
              <w:rPr>
                <w:rFonts w:ascii="Tahoma" w:eastAsia="Times New Roman" w:hAnsi="Tahoma" w:cs="Tahoma"/>
                <w:iCs/>
                <w:sz w:val="20"/>
                <w:szCs w:val="20"/>
              </w:rPr>
            </w:pPr>
            <w:r w:rsidRPr="001D67EA">
              <w:rPr>
                <w:rFonts w:ascii="Tahoma" w:eastAsia="Times New Roman" w:hAnsi="Tahoma" w:cs="Tahoma"/>
                <w:iCs/>
                <w:sz w:val="20"/>
                <w:szCs w:val="20"/>
              </w:rPr>
              <w:t>opinnäytetyön viimeistelystä ja tiedotusmateriaalin laatimisesta.</w:t>
            </w:r>
          </w:p>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 xml:space="preserve">Opinnäytetyö tarjoaa hyvän mahdollisuuden verkottua omalla alalla ja joustavan portin siirtyä työelämään. </w:t>
            </w:r>
          </w:p>
        </w:tc>
      </w:tr>
      <w:tr w:rsidR="004C4B2C" w:rsidRPr="001D67EA" w:rsidTr="001D67EA">
        <w:tc>
          <w:tcPr>
            <w:tcW w:w="19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Pr>
          <w:p w:rsidR="004C4B2C" w:rsidRPr="001D67EA" w:rsidRDefault="004C4B2C" w:rsidP="00E8487C">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Valinnaiset opinnot</w:t>
            </w:r>
            <w:bookmarkStart w:id="0" w:name="_GoBack"/>
            <w:bookmarkEnd w:id="0"/>
          </w:p>
        </w:tc>
        <w:tc>
          <w:tcPr>
            <w:tcW w:w="124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25 op</w:t>
            </w:r>
          </w:p>
        </w:tc>
        <w:tc>
          <w:tcPr>
            <w:tcW w:w="655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Valinnaiset opinnot syventävät asiantuntijuuden kehittymistä. Ne valitaan opiskelijan kiinnostuksen mukaan tutkinto-ohjelman, terveysalan tai koko Savonian opintotarjonnasta.</w:t>
            </w:r>
          </w:p>
        </w:tc>
      </w:tr>
      <w:tr w:rsidR="004C4B2C" w:rsidRPr="00E42502" w:rsidTr="001D67EA">
        <w:tc>
          <w:tcPr>
            <w:tcW w:w="1980"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hideMark/>
          </w:tcPr>
          <w:p w:rsidR="004C4B2C" w:rsidRPr="001D67EA" w:rsidRDefault="004C4B2C" w:rsidP="001D67EA">
            <w:pPr>
              <w:shd w:val="clear" w:color="auto" w:fill="FFFFFF" w:themeFill="background1"/>
              <w:spacing w:after="0" w:line="240" w:lineRule="auto"/>
              <w:rPr>
                <w:rFonts w:ascii="Tahoma" w:eastAsia="Times New Roman" w:hAnsi="Tahoma" w:cs="Tahoma"/>
                <w:b/>
                <w:sz w:val="20"/>
                <w:szCs w:val="20"/>
              </w:rPr>
            </w:pPr>
            <w:r w:rsidRPr="001D67EA">
              <w:rPr>
                <w:rFonts w:ascii="Tahoma" w:eastAsia="Times New Roman" w:hAnsi="Tahoma" w:cs="Tahoma"/>
                <w:b/>
                <w:sz w:val="20"/>
                <w:szCs w:val="20"/>
              </w:rPr>
              <w:t>Yhteensä</w:t>
            </w:r>
          </w:p>
        </w:tc>
        <w:tc>
          <w:tcPr>
            <w:tcW w:w="1247" w:type="dxa"/>
            <w:tcBorders>
              <w:top w:val="single" w:sz="4" w:space="0" w:color="000000"/>
              <w:left w:val="single" w:sz="4" w:space="0" w:color="000000"/>
              <w:bottom w:val="single" w:sz="4" w:space="0" w:color="000000"/>
              <w:right w:val="single" w:sz="4" w:space="0" w:color="000000"/>
            </w:tcBorders>
            <w:shd w:val="clear" w:color="auto" w:fill="auto"/>
            <w:hideMark/>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r w:rsidRPr="001D67EA">
              <w:rPr>
                <w:rFonts w:ascii="Tahoma" w:eastAsia="Times New Roman" w:hAnsi="Tahoma" w:cs="Tahoma"/>
                <w:sz w:val="20"/>
                <w:szCs w:val="20"/>
              </w:rPr>
              <w:t>210 op</w:t>
            </w:r>
          </w:p>
        </w:tc>
        <w:tc>
          <w:tcPr>
            <w:tcW w:w="6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C4B2C" w:rsidRPr="001D67EA" w:rsidRDefault="004C4B2C" w:rsidP="001D67EA">
            <w:pPr>
              <w:shd w:val="clear" w:color="auto" w:fill="FFFFFF" w:themeFill="background1"/>
              <w:spacing w:after="0" w:line="240" w:lineRule="auto"/>
              <w:rPr>
                <w:rFonts w:ascii="Tahoma" w:eastAsia="Times New Roman" w:hAnsi="Tahoma" w:cs="Tahoma"/>
                <w:sz w:val="20"/>
                <w:szCs w:val="20"/>
              </w:rPr>
            </w:pPr>
          </w:p>
        </w:tc>
      </w:tr>
    </w:tbl>
    <w:p w:rsidR="004C4B2C" w:rsidRDefault="004C4B2C" w:rsidP="001D67EA">
      <w:pPr>
        <w:shd w:val="clear" w:color="auto" w:fill="FFFFFF" w:themeFill="background1"/>
        <w:spacing w:after="0" w:line="240" w:lineRule="auto"/>
        <w:rPr>
          <w:rFonts w:ascii="Tahoma" w:eastAsia="Times New Roman" w:hAnsi="Tahoma" w:cs="Tahoma"/>
          <w:sz w:val="20"/>
          <w:szCs w:val="20"/>
        </w:rPr>
      </w:pPr>
    </w:p>
    <w:p w:rsidR="001D67EA" w:rsidRDefault="001D67EA" w:rsidP="001D67EA">
      <w:pPr>
        <w:shd w:val="clear" w:color="auto" w:fill="FFFFFF" w:themeFill="background1"/>
        <w:spacing w:after="0" w:line="240" w:lineRule="auto"/>
        <w:rPr>
          <w:rFonts w:ascii="Tahoma" w:eastAsia="Times New Roman" w:hAnsi="Tahoma" w:cs="Tahoma"/>
          <w:sz w:val="20"/>
          <w:szCs w:val="20"/>
        </w:rPr>
      </w:pPr>
    </w:p>
    <w:p w:rsidR="001D67EA" w:rsidRPr="00E42502" w:rsidRDefault="001D67EA" w:rsidP="001D67EA">
      <w:pPr>
        <w:shd w:val="clear" w:color="auto" w:fill="FFFFFF" w:themeFill="background1"/>
        <w:spacing w:after="0" w:line="240" w:lineRule="auto"/>
        <w:rPr>
          <w:rFonts w:ascii="Tahoma" w:eastAsia="Times New Roman" w:hAnsi="Tahoma" w:cs="Tahoma"/>
          <w:sz w:val="20"/>
          <w:szCs w:val="20"/>
        </w:rPr>
      </w:pPr>
    </w:p>
    <w:sectPr w:rsidR="001D67EA" w:rsidRPr="00E4250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13B73"/>
    <w:multiLevelType w:val="hybridMultilevel"/>
    <w:tmpl w:val="C5EEC8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695914"/>
    <w:multiLevelType w:val="hybridMultilevel"/>
    <w:tmpl w:val="10B2FBB4"/>
    <w:lvl w:ilvl="0" w:tplc="040B0001">
      <w:start w:val="1"/>
      <w:numFmt w:val="bullet"/>
      <w:lvlText w:val=""/>
      <w:lvlJc w:val="left"/>
      <w:pPr>
        <w:ind w:left="360" w:hanging="360"/>
      </w:pPr>
      <w:rPr>
        <w:rFonts w:ascii="Symbol" w:hAnsi="Symbol" w:hint="default"/>
      </w:rPr>
    </w:lvl>
    <w:lvl w:ilvl="1" w:tplc="040B0003">
      <w:start w:val="1"/>
      <w:numFmt w:val="decimal"/>
      <w:lvlText w:val="%2."/>
      <w:lvlJc w:val="left"/>
      <w:pPr>
        <w:tabs>
          <w:tab w:val="num" w:pos="720"/>
        </w:tabs>
        <w:ind w:left="720" w:hanging="360"/>
      </w:pPr>
    </w:lvl>
    <w:lvl w:ilvl="2" w:tplc="040B0005">
      <w:start w:val="1"/>
      <w:numFmt w:val="decimal"/>
      <w:lvlText w:val="%3."/>
      <w:lvlJc w:val="left"/>
      <w:pPr>
        <w:tabs>
          <w:tab w:val="num" w:pos="1440"/>
        </w:tabs>
        <w:ind w:left="1440" w:hanging="360"/>
      </w:pPr>
    </w:lvl>
    <w:lvl w:ilvl="3" w:tplc="040B0001">
      <w:start w:val="1"/>
      <w:numFmt w:val="decimal"/>
      <w:lvlText w:val="%4."/>
      <w:lvlJc w:val="left"/>
      <w:pPr>
        <w:tabs>
          <w:tab w:val="num" w:pos="2160"/>
        </w:tabs>
        <w:ind w:left="2160" w:hanging="360"/>
      </w:pPr>
    </w:lvl>
    <w:lvl w:ilvl="4" w:tplc="040B0003">
      <w:start w:val="1"/>
      <w:numFmt w:val="decimal"/>
      <w:lvlText w:val="%5."/>
      <w:lvlJc w:val="left"/>
      <w:pPr>
        <w:tabs>
          <w:tab w:val="num" w:pos="2880"/>
        </w:tabs>
        <w:ind w:left="2880" w:hanging="360"/>
      </w:pPr>
    </w:lvl>
    <w:lvl w:ilvl="5" w:tplc="040B0005">
      <w:start w:val="1"/>
      <w:numFmt w:val="decimal"/>
      <w:lvlText w:val="%6."/>
      <w:lvlJc w:val="left"/>
      <w:pPr>
        <w:tabs>
          <w:tab w:val="num" w:pos="3600"/>
        </w:tabs>
        <w:ind w:left="3600" w:hanging="360"/>
      </w:pPr>
    </w:lvl>
    <w:lvl w:ilvl="6" w:tplc="040B0001">
      <w:start w:val="1"/>
      <w:numFmt w:val="decimal"/>
      <w:lvlText w:val="%7."/>
      <w:lvlJc w:val="left"/>
      <w:pPr>
        <w:tabs>
          <w:tab w:val="num" w:pos="4320"/>
        </w:tabs>
        <w:ind w:left="4320" w:hanging="360"/>
      </w:pPr>
    </w:lvl>
    <w:lvl w:ilvl="7" w:tplc="040B0003">
      <w:start w:val="1"/>
      <w:numFmt w:val="decimal"/>
      <w:lvlText w:val="%8."/>
      <w:lvlJc w:val="left"/>
      <w:pPr>
        <w:tabs>
          <w:tab w:val="num" w:pos="5040"/>
        </w:tabs>
        <w:ind w:left="5040" w:hanging="360"/>
      </w:pPr>
    </w:lvl>
    <w:lvl w:ilvl="8" w:tplc="040B0005">
      <w:start w:val="1"/>
      <w:numFmt w:val="decimal"/>
      <w:lvlText w:val="%9."/>
      <w:lvlJc w:val="left"/>
      <w:pPr>
        <w:tabs>
          <w:tab w:val="num" w:pos="5760"/>
        </w:tabs>
        <w:ind w:left="576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B2C"/>
    <w:rsid w:val="000406E4"/>
    <w:rsid w:val="00094554"/>
    <w:rsid w:val="001D67EA"/>
    <w:rsid w:val="002D30F5"/>
    <w:rsid w:val="004C4B2C"/>
    <w:rsid w:val="009942BB"/>
    <w:rsid w:val="00E42502"/>
    <w:rsid w:val="00E848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30CB93-AA78-4AE3-AEC4-DF5B8C25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D67EA"/>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73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256</Words>
  <Characters>2082</Characters>
  <Application>Microsoft Office Word</Application>
  <DocSecurity>0</DocSecurity>
  <Lines>17</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Sirkka-Liisa Halimaa</dc:creator>
  <cp:lastModifiedBy>Marja Kopeli</cp:lastModifiedBy>
  <cp:revision>6</cp:revision>
  <dcterms:created xsi:type="dcterms:W3CDTF">2016-01-26T10:33:00Z</dcterms:created>
  <dcterms:modified xsi:type="dcterms:W3CDTF">2016-01-26T11:07:00Z</dcterms:modified>
</cp:coreProperties>
</file>