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BAE" w:rsidRDefault="00C26276">
      <w:r>
        <w:t>TB16SP_1</w:t>
      </w:r>
    </w:p>
    <w:p w:rsidR="000C6BAE" w:rsidRDefault="000C6BAE"/>
    <w:tbl>
      <w:tblPr>
        <w:tblW w:w="9642" w:type="dxa"/>
        <w:tblCellMar>
          <w:left w:w="0" w:type="dxa"/>
          <w:right w:w="0" w:type="dxa"/>
        </w:tblCellMar>
        <w:tblLook w:val="04A0" w:firstRow="1" w:lastRow="0" w:firstColumn="1" w:lastColumn="0" w:noHBand="0" w:noVBand="1"/>
      </w:tblPr>
      <w:tblGrid>
        <w:gridCol w:w="3256"/>
        <w:gridCol w:w="6386"/>
      </w:tblGrid>
      <w:tr w:rsidR="000C6BAE" w:rsidRPr="008B3790" w:rsidTr="00C26276">
        <w:trPr>
          <w:trHeight w:val="386"/>
        </w:trPr>
        <w:tc>
          <w:tcPr>
            <w:tcW w:w="3256" w:type="dxa"/>
            <w:tcBorders>
              <w:top w:val="single" w:sz="4" w:space="0" w:color="auto"/>
              <w:left w:val="single" w:sz="4" w:space="0" w:color="auto"/>
              <w:bottom w:val="single" w:sz="4" w:space="0" w:color="auto"/>
              <w:right w:val="single" w:sz="4" w:space="0" w:color="auto"/>
            </w:tcBorders>
            <w:shd w:val="clear" w:color="auto" w:fill="33CCCC"/>
            <w:tcMar>
              <w:top w:w="72" w:type="dxa"/>
              <w:left w:w="144" w:type="dxa"/>
              <w:bottom w:w="72" w:type="dxa"/>
              <w:right w:w="144" w:type="dxa"/>
            </w:tcMar>
            <w:hideMark/>
          </w:tcPr>
          <w:p w:rsidR="000C6BAE" w:rsidRPr="003340D9" w:rsidRDefault="000C6BAE" w:rsidP="00722D5F">
            <w:pPr>
              <w:rPr>
                <w:rFonts w:ascii="Tahoma" w:hAnsi="Tahoma" w:cs="Tahoma"/>
                <w:color w:val="FFFFFF" w:themeColor="background1"/>
                <w:lang w:eastAsia="fi-FI"/>
              </w:rPr>
            </w:pPr>
            <w:r w:rsidRPr="003340D9">
              <w:rPr>
                <w:rFonts w:ascii="Tahoma" w:eastAsia="ヒラギノ角ゴ Pro W3" w:hAnsi="Tahoma" w:cs="Tahoma"/>
                <w:b/>
                <w:bCs/>
                <w:color w:val="FFFFFF" w:themeColor="background1"/>
                <w:kern w:val="24"/>
                <w:lang w:eastAsia="fi-FI"/>
              </w:rPr>
              <w:t xml:space="preserve">Osaamisen osa-alue </w:t>
            </w:r>
          </w:p>
        </w:tc>
        <w:tc>
          <w:tcPr>
            <w:tcW w:w="6386" w:type="dxa"/>
            <w:tcBorders>
              <w:top w:val="single" w:sz="4" w:space="0" w:color="auto"/>
              <w:left w:val="single" w:sz="4" w:space="0" w:color="auto"/>
              <w:bottom w:val="single" w:sz="4" w:space="0" w:color="auto"/>
              <w:right w:val="single" w:sz="4" w:space="0" w:color="auto"/>
            </w:tcBorders>
            <w:shd w:val="clear" w:color="auto" w:fill="33CCCC"/>
            <w:tcMar>
              <w:top w:w="72" w:type="dxa"/>
              <w:left w:w="144" w:type="dxa"/>
              <w:bottom w:w="72" w:type="dxa"/>
              <w:right w:w="144" w:type="dxa"/>
            </w:tcMar>
            <w:hideMark/>
          </w:tcPr>
          <w:p w:rsidR="000C6BAE" w:rsidRPr="003340D9" w:rsidRDefault="000C6BAE" w:rsidP="00722D5F">
            <w:pPr>
              <w:rPr>
                <w:rFonts w:ascii="Tahoma" w:hAnsi="Tahoma" w:cs="Tahoma"/>
                <w:color w:val="FFFFFF" w:themeColor="background1"/>
                <w:lang w:eastAsia="fi-FI"/>
              </w:rPr>
            </w:pPr>
            <w:r w:rsidRPr="003340D9">
              <w:rPr>
                <w:rFonts w:ascii="Tahoma" w:eastAsia="ヒラギノ角ゴ Pro W3" w:hAnsi="Tahoma" w:cs="Tahoma"/>
                <w:b/>
                <w:bCs/>
                <w:color w:val="FFFFFF" w:themeColor="background1"/>
                <w:kern w:val="24"/>
                <w:lang w:eastAsia="fi-FI"/>
              </w:rPr>
              <w:t xml:space="preserve">Osaaminen tasolla 6 </w:t>
            </w:r>
          </w:p>
        </w:tc>
      </w:tr>
      <w:tr w:rsidR="000C6BAE" w:rsidRPr="008B3790" w:rsidTr="00C26276">
        <w:trPr>
          <w:trHeight w:val="878"/>
        </w:trPr>
        <w:tc>
          <w:tcPr>
            <w:tcW w:w="325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C26276" w:rsidRDefault="000C6BAE" w:rsidP="000B092A">
            <w:pPr>
              <w:shd w:val="clear" w:color="auto" w:fill="FFFFFF" w:themeFill="background1"/>
              <w:rPr>
                <w:rFonts w:ascii="Tahoma" w:hAnsi="Tahoma" w:cs="Tahoma"/>
                <w:b/>
                <w:sz w:val="20"/>
                <w:szCs w:val="20"/>
                <w:lang w:eastAsia="fi-FI"/>
              </w:rPr>
            </w:pPr>
            <w:r w:rsidRPr="00C26276">
              <w:rPr>
                <w:rFonts w:ascii="Tahoma" w:eastAsia="ヒラギノ角ゴ Pro W3" w:hAnsi="Tahoma" w:cs="Tahoma"/>
                <w:b/>
                <w:color w:val="000000"/>
                <w:kern w:val="24"/>
                <w:sz w:val="20"/>
                <w:szCs w:val="20"/>
                <w:lang w:eastAsia="fi-FI"/>
              </w:rPr>
              <w:t xml:space="preserve">Tieto </w:t>
            </w:r>
          </w:p>
        </w:tc>
        <w:tc>
          <w:tcPr>
            <w:tcW w:w="638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C26276" w:rsidRDefault="000C6BAE" w:rsidP="000B092A">
            <w:pPr>
              <w:shd w:val="clear" w:color="auto" w:fill="FFFFFF" w:themeFill="background1"/>
              <w:rPr>
                <w:rFonts w:ascii="Tahoma" w:hAnsi="Tahoma" w:cs="Tahoma"/>
                <w:sz w:val="20"/>
                <w:szCs w:val="20"/>
                <w:lang w:eastAsia="fi-FI"/>
              </w:rPr>
            </w:pPr>
            <w:r w:rsidRPr="00C26276">
              <w:rPr>
                <w:rFonts w:ascii="Tahoma" w:eastAsia="ヒラギノ角ゴ Pro W3" w:hAnsi="Tahoma" w:cs="Tahoma"/>
                <w:color w:val="000000"/>
                <w:kern w:val="24"/>
                <w:sz w:val="20"/>
                <w:szCs w:val="20"/>
                <w:lang w:eastAsia="fi-FI"/>
              </w:rPr>
              <w:t xml:space="preserve">Bioanalyytikolla on laaja-alaiset kliinisen laboratoriotyön ammattialan osaamista vastaavat käsitteet, menetelmät ja tiedot ja hän kykenee niiden kriittiseen arviointiin ja soveltamiseen kliinisen laboratoriotyön muuttuvissa ja ennakoimattomissa ympäristöissä </w:t>
            </w:r>
          </w:p>
        </w:tc>
      </w:tr>
      <w:tr w:rsidR="000C6BAE" w:rsidRPr="008B3790" w:rsidTr="00C26276">
        <w:trPr>
          <w:trHeight w:val="833"/>
        </w:trPr>
        <w:tc>
          <w:tcPr>
            <w:tcW w:w="325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C26276" w:rsidRDefault="000C6BAE" w:rsidP="000B092A">
            <w:pPr>
              <w:shd w:val="clear" w:color="auto" w:fill="FFFFFF" w:themeFill="background1"/>
              <w:rPr>
                <w:rFonts w:ascii="Tahoma" w:hAnsi="Tahoma" w:cs="Tahoma"/>
                <w:b/>
                <w:sz w:val="20"/>
                <w:szCs w:val="20"/>
                <w:lang w:eastAsia="fi-FI"/>
              </w:rPr>
            </w:pPr>
            <w:r w:rsidRPr="00C26276">
              <w:rPr>
                <w:rFonts w:ascii="Tahoma" w:eastAsia="ヒラギノ角ゴ Pro W3" w:hAnsi="Tahoma" w:cs="Tahoma"/>
                <w:b/>
                <w:color w:val="000000"/>
                <w:kern w:val="24"/>
                <w:sz w:val="20"/>
                <w:szCs w:val="20"/>
                <w:lang w:eastAsia="fi-FI"/>
              </w:rPr>
              <w:t xml:space="preserve">Taito (työskentelytapa ja soveltaminen) </w:t>
            </w:r>
          </w:p>
        </w:tc>
        <w:tc>
          <w:tcPr>
            <w:tcW w:w="638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C26276" w:rsidRDefault="000C6BAE" w:rsidP="000B092A">
            <w:pPr>
              <w:shd w:val="clear" w:color="auto" w:fill="FFFFFF" w:themeFill="background1"/>
              <w:rPr>
                <w:rFonts w:ascii="Tahoma" w:hAnsi="Tahoma" w:cs="Tahoma"/>
                <w:sz w:val="20"/>
                <w:szCs w:val="20"/>
                <w:lang w:eastAsia="fi-FI"/>
              </w:rPr>
            </w:pPr>
            <w:r w:rsidRPr="00C26276">
              <w:rPr>
                <w:rFonts w:ascii="Tahoma" w:eastAsia="ヒラギノ角ゴ Pro W3" w:hAnsi="Tahoma" w:cs="Tahoma"/>
                <w:color w:val="000000"/>
                <w:kern w:val="24"/>
                <w:sz w:val="20"/>
                <w:szCs w:val="20"/>
                <w:lang w:eastAsia="fi-FI"/>
              </w:rPr>
              <w:t xml:space="preserve">Bioanalyytikko kykenee ratkaisemaan ammattialan ongelmia, tekemään päätöksiä ennakoimattomissa tilanteissa ja vastaamaan kliinisen laboratoriotyön ammatillisista tehtävistä perustaen toimintansa parhaaseen mahdolliseen näyttöön </w:t>
            </w:r>
          </w:p>
        </w:tc>
      </w:tr>
      <w:tr w:rsidR="000C6BAE" w:rsidRPr="008B3790" w:rsidTr="00C26276">
        <w:trPr>
          <w:trHeight w:val="678"/>
        </w:trPr>
        <w:tc>
          <w:tcPr>
            <w:tcW w:w="325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C26276" w:rsidRDefault="000C6BAE" w:rsidP="000B092A">
            <w:pPr>
              <w:shd w:val="clear" w:color="auto" w:fill="FFFFFF" w:themeFill="background1"/>
              <w:rPr>
                <w:rFonts w:ascii="Tahoma" w:hAnsi="Tahoma" w:cs="Tahoma"/>
                <w:b/>
                <w:sz w:val="20"/>
                <w:szCs w:val="20"/>
                <w:lang w:eastAsia="fi-FI"/>
              </w:rPr>
            </w:pPr>
            <w:r w:rsidRPr="00C26276">
              <w:rPr>
                <w:rFonts w:ascii="Tahoma" w:eastAsia="ヒラギノ角ゴ Pro W3" w:hAnsi="Tahoma" w:cs="Tahoma"/>
                <w:b/>
                <w:color w:val="000000"/>
                <w:kern w:val="24"/>
                <w:sz w:val="20"/>
                <w:szCs w:val="20"/>
                <w:lang w:eastAsia="fi-FI"/>
              </w:rPr>
              <w:t xml:space="preserve">Vastuu, johtaminen, yrittäjyys </w:t>
            </w:r>
          </w:p>
        </w:tc>
        <w:tc>
          <w:tcPr>
            <w:tcW w:w="638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C26276" w:rsidRDefault="000C6BAE" w:rsidP="000B092A">
            <w:pPr>
              <w:shd w:val="clear" w:color="auto" w:fill="FFFFFF" w:themeFill="background1"/>
              <w:rPr>
                <w:rFonts w:ascii="Tahoma" w:hAnsi="Tahoma" w:cs="Tahoma"/>
                <w:sz w:val="20"/>
                <w:szCs w:val="20"/>
                <w:lang w:eastAsia="fi-FI"/>
              </w:rPr>
            </w:pPr>
            <w:r w:rsidRPr="00C26276">
              <w:rPr>
                <w:rFonts w:ascii="Tahoma" w:eastAsia="ヒラギノ角ゴ Pro W3" w:hAnsi="Tahoma" w:cs="Tahoma"/>
                <w:color w:val="000000"/>
                <w:kern w:val="24"/>
                <w:sz w:val="20"/>
                <w:szCs w:val="20"/>
                <w:lang w:eastAsia="fi-FI"/>
              </w:rPr>
              <w:t xml:space="preserve">Bioanalyytikko kykenee johtamaan ammatillista toimintaa tai hankkeita ja työskentelemään alan asiantuntijatehtävissä. Bioanalyytikolla on perusvalmiudet toimia alan yrittäjänä </w:t>
            </w:r>
          </w:p>
        </w:tc>
      </w:tr>
      <w:tr w:rsidR="000C6BAE" w:rsidRPr="008B3790" w:rsidTr="00C26276">
        <w:trPr>
          <w:trHeight w:val="678"/>
        </w:trPr>
        <w:tc>
          <w:tcPr>
            <w:tcW w:w="325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C26276" w:rsidRDefault="000C6BAE" w:rsidP="000B092A">
            <w:pPr>
              <w:shd w:val="clear" w:color="auto" w:fill="FFFFFF" w:themeFill="background1"/>
              <w:rPr>
                <w:rFonts w:ascii="Tahoma" w:eastAsia="ヒラギノ角ゴ Pro W3" w:hAnsi="Tahoma" w:cs="Tahoma"/>
                <w:b/>
                <w:color w:val="000000"/>
                <w:kern w:val="24"/>
                <w:sz w:val="20"/>
                <w:szCs w:val="20"/>
                <w:lang w:eastAsia="fi-FI"/>
              </w:rPr>
            </w:pPr>
            <w:r w:rsidRPr="00C26276">
              <w:rPr>
                <w:rFonts w:ascii="Tahoma" w:eastAsia="ヒラギノ角ゴ Pro W3" w:hAnsi="Tahoma" w:cs="Tahoma"/>
                <w:b/>
                <w:color w:val="000000"/>
                <w:kern w:val="24"/>
                <w:sz w:val="20"/>
                <w:szCs w:val="20"/>
                <w:lang w:eastAsia="fi-FI"/>
              </w:rPr>
              <w:t>Arviointi</w:t>
            </w:r>
          </w:p>
        </w:tc>
        <w:tc>
          <w:tcPr>
            <w:tcW w:w="638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C26276" w:rsidRDefault="000C6BAE" w:rsidP="000B092A">
            <w:p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Bioanalyytikko kykenee vastaamaan oman osaamisensa arvioinnin ja kehittämisen lisäksi yksittäisten henkilöiden ja ryhmien kehittämisestä</w:t>
            </w:r>
          </w:p>
        </w:tc>
      </w:tr>
      <w:tr w:rsidR="000C6BAE" w:rsidRPr="008B3790" w:rsidTr="00C26276">
        <w:trPr>
          <w:trHeight w:val="1256"/>
        </w:trPr>
        <w:tc>
          <w:tcPr>
            <w:tcW w:w="325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C26276" w:rsidRDefault="000C6BAE" w:rsidP="000B092A">
            <w:pPr>
              <w:shd w:val="clear" w:color="auto" w:fill="FFFFFF" w:themeFill="background1"/>
              <w:rPr>
                <w:rFonts w:ascii="Tahoma" w:hAnsi="Tahoma" w:cs="Tahoma"/>
                <w:b/>
                <w:sz w:val="20"/>
                <w:szCs w:val="20"/>
                <w:lang w:eastAsia="fi-FI"/>
              </w:rPr>
            </w:pPr>
            <w:r w:rsidRPr="00C26276">
              <w:rPr>
                <w:rFonts w:ascii="Tahoma" w:eastAsia="ヒラギノ角ゴ Pro W3" w:hAnsi="Tahoma" w:cs="Tahoma"/>
                <w:b/>
                <w:color w:val="000000"/>
                <w:kern w:val="24"/>
                <w:sz w:val="20"/>
                <w:szCs w:val="20"/>
                <w:lang w:eastAsia="fi-FI"/>
              </w:rPr>
              <w:t xml:space="preserve">Elinikäisen oppimisen avaintaidot </w:t>
            </w:r>
          </w:p>
        </w:tc>
        <w:tc>
          <w:tcPr>
            <w:tcW w:w="638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C26276" w:rsidRDefault="000C6BAE" w:rsidP="000B092A">
            <w:pPr>
              <w:shd w:val="clear" w:color="auto" w:fill="FFFFFF" w:themeFill="background1"/>
              <w:rPr>
                <w:rFonts w:ascii="Tahoma" w:hAnsi="Tahoma" w:cs="Tahoma"/>
                <w:sz w:val="20"/>
                <w:szCs w:val="20"/>
                <w:lang w:eastAsia="fi-FI"/>
              </w:rPr>
            </w:pPr>
            <w:r w:rsidRPr="00C26276">
              <w:rPr>
                <w:rFonts w:ascii="Tahoma" w:eastAsia="ヒラギノ角ゴ Pro W3" w:hAnsi="Tahoma" w:cs="Tahoma"/>
                <w:color w:val="000000"/>
                <w:kern w:val="24"/>
                <w:sz w:val="20"/>
                <w:szCs w:val="20"/>
                <w:lang w:eastAsia="fi-FI"/>
              </w:rPr>
              <w:t xml:space="preserve">Bioanalyytikolla on valmius jatkuvaan oppimiseen ja hän kykenee vastaamaan oman osaamisensa arvioinnista ja tavoitteellisesta kehittämisestä. Bioanalyytikko osaa viestiä suullisesti ja kirjallisesti sekä alan että alan ulkopuoliselle yleisölle. Hän kykenee kansainväliseen viestintään ja vuorovaikutukseen ruotsin kielellä ja vähintään yhdellä vieraalla kielellä </w:t>
            </w:r>
          </w:p>
        </w:tc>
      </w:tr>
    </w:tbl>
    <w:p w:rsidR="009A45DE" w:rsidRDefault="009A45DE" w:rsidP="000B092A"/>
    <w:p w:rsidR="00C26276" w:rsidRDefault="00C26276" w:rsidP="000B092A">
      <w:r>
        <w:t>TB16SP_2</w:t>
      </w:r>
    </w:p>
    <w:p w:rsidR="00C26276" w:rsidRDefault="00C26276" w:rsidP="000B092A"/>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6347"/>
      </w:tblGrid>
      <w:tr w:rsidR="00C26276" w:rsidRPr="00B84BC4" w:rsidTr="00C26276">
        <w:tc>
          <w:tcPr>
            <w:tcW w:w="3179" w:type="dxa"/>
            <w:tcBorders>
              <w:top w:val="single" w:sz="4" w:space="0" w:color="auto"/>
              <w:left w:val="single" w:sz="4" w:space="0" w:color="auto"/>
              <w:bottom w:val="single" w:sz="4" w:space="0" w:color="auto"/>
              <w:right w:val="single" w:sz="4" w:space="0" w:color="auto"/>
            </w:tcBorders>
            <w:shd w:val="clear" w:color="auto" w:fill="33CCCC"/>
          </w:tcPr>
          <w:p w:rsidR="00C26276" w:rsidRPr="00825B37" w:rsidRDefault="00C26276" w:rsidP="00C10B89">
            <w:pPr>
              <w:rPr>
                <w:rFonts w:ascii="Tahoma" w:hAnsi="Tahoma" w:cs="Tahoma"/>
                <w:b/>
                <w:color w:val="FFFFFF" w:themeColor="background1"/>
              </w:rPr>
            </w:pPr>
            <w:r w:rsidRPr="00825B37">
              <w:rPr>
                <w:rFonts w:ascii="Tahoma" w:hAnsi="Tahoma" w:cs="Tahoma"/>
                <w:b/>
                <w:color w:val="FFFFFF" w:themeColor="background1"/>
              </w:rPr>
              <w:t>Yleiset kompetenssit</w:t>
            </w:r>
          </w:p>
          <w:p w:rsidR="00C26276" w:rsidRPr="00825B37" w:rsidRDefault="00C26276" w:rsidP="00C10B89">
            <w:pPr>
              <w:jc w:val="both"/>
              <w:rPr>
                <w:rFonts w:ascii="Tahoma" w:hAnsi="Tahoma" w:cs="Tahoma"/>
                <w:color w:val="FFFFFF" w:themeColor="background1"/>
              </w:rPr>
            </w:pPr>
            <w:r w:rsidRPr="00825B37">
              <w:rPr>
                <w:rFonts w:ascii="Tahoma" w:hAnsi="Tahoma" w:cs="Tahoma"/>
                <w:color w:val="FFFFFF" w:themeColor="background1"/>
              </w:rPr>
              <w:t>(</w:t>
            </w:r>
            <w:proofErr w:type="spellStart"/>
            <w:r w:rsidRPr="00825B37">
              <w:rPr>
                <w:rFonts w:ascii="Tahoma" w:hAnsi="Tahoma" w:cs="Tahoma"/>
                <w:color w:val="FFFFFF" w:themeColor="background1"/>
              </w:rPr>
              <w:t>G</w:t>
            </w:r>
            <w:r w:rsidRPr="00825B37">
              <w:rPr>
                <w:rFonts w:ascii="Tahoma" w:hAnsi="Tahoma" w:cs="Tahoma"/>
                <w:i/>
                <w:color w:val="FFFFFF" w:themeColor="background1"/>
              </w:rPr>
              <w:t>eneric</w:t>
            </w:r>
            <w:proofErr w:type="spellEnd"/>
            <w:r w:rsidRPr="00825B37">
              <w:rPr>
                <w:rFonts w:ascii="Tahoma" w:hAnsi="Tahoma" w:cs="Tahoma"/>
                <w:i/>
                <w:color w:val="FFFFFF" w:themeColor="background1"/>
              </w:rPr>
              <w:t xml:space="preserve"> </w:t>
            </w:r>
            <w:proofErr w:type="spellStart"/>
            <w:r w:rsidRPr="00825B37">
              <w:rPr>
                <w:rFonts w:ascii="Tahoma" w:hAnsi="Tahoma" w:cs="Tahoma"/>
                <w:i/>
                <w:color w:val="FFFFFF" w:themeColor="background1"/>
              </w:rPr>
              <w:t>competences</w:t>
            </w:r>
            <w:proofErr w:type="spellEnd"/>
            <w:r w:rsidRPr="00825B37">
              <w:rPr>
                <w:rFonts w:ascii="Tahoma" w:hAnsi="Tahoma" w:cs="Tahoma"/>
                <w:color w:val="FFFFFF" w:themeColor="background1"/>
              </w:rPr>
              <w:t>)</w:t>
            </w:r>
          </w:p>
        </w:tc>
        <w:tc>
          <w:tcPr>
            <w:tcW w:w="6347" w:type="dxa"/>
            <w:tcBorders>
              <w:top w:val="single" w:sz="4" w:space="0" w:color="auto"/>
              <w:left w:val="single" w:sz="4" w:space="0" w:color="auto"/>
              <w:bottom w:val="single" w:sz="4" w:space="0" w:color="auto"/>
              <w:right w:val="single" w:sz="4" w:space="0" w:color="auto"/>
            </w:tcBorders>
            <w:shd w:val="clear" w:color="auto" w:fill="33CCCC"/>
          </w:tcPr>
          <w:p w:rsidR="00C26276" w:rsidRPr="00825B37" w:rsidRDefault="00C26276" w:rsidP="00C10B89">
            <w:pPr>
              <w:jc w:val="both"/>
              <w:rPr>
                <w:rFonts w:ascii="Tahoma" w:hAnsi="Tahoma" w:cs="Tahoma"/>
                <w:b/>
                <w:color w:val="FFFFFF" w:themeColor="background1"/>
                <w:lang w:val="en-US"/>
              </w:rPr>
            </w:pPr>
            <w:proofErr w:type="spellStart"/>
            <w:r w:rsidRPr="00825B37">
              <w:rPr>
                <w:rFonts w:ascii="Tahoma" w:hAnsi="Tahoma" w:cs="Tahoma"/>
                <w:b/>
                <w:color w:val="FFFFFF" w:themeColor="background1"/>
                <w:lang w:val="en-US"/>
              </w:rPr>
              <w:t>Osaamisen</w:t>
            </w:r>
            <w:proofErr w:type="spellEnd"/>
            <w:r w:rsidRPr="00825B37">
              <w:rPr>
                <w:rFonts w:ascii="Tahoma" w:hAnsi="Tahoma" w:cs="Tahoma"/>
                <w:b/>
                <w:color w:val="FFFFFF" w:themeColor="background1"/>
                <w:lang w:val="en-US"/>
              </w:rPr>
              <w:t xml:space="preserve"> </w:t>
            </w:r>
            <w:proofErr w:type="spellStart"/>
            <w:r w:rsidRPr="00825B37">
              <w:rPr>
                <w:rFonts w:ascii="Tahoma" w:hAnsi="Tahoma" w:cs="Tahoma"/>
                <w:b/>
                <w:color w:val="FFFFFF" w:themeColor="background1"/>
                <w:lang w:val="en-US"/>
              </w:rPr>
              <w:t>kuvaus</w:t>
            </w:r>
            <w:proofErr w:type="spellEnd"/>
          </w:p>
          <w:p w:rsidR="00C26276" w:rsidRPr="00825B37" w:rsidRDefault="00C26276" w:rsidP="00C10B89">
            <w:pPr>
              <w:jc w:val="both"/>
              <w:rPr>
                <w:rFonts w:ascii="Tahoma" w:hAnsi="Tahoma" w:cs="Tahoma"/>
                <w:b/>
                <w:color w:val="FFFFFF" w:themeColor="background1"/>
                <w:lang w:val="en-US"/>
              </w:rPr>
            </w:pPr>
            <w:r w:rsidRPr="00825B37">
              <w:rPr>
                <w:rFonts w:ascii="Tahoma" w:hAnsi="Tahoma" w:cs="Tahoma"/>
                <w:color w:val="FFFFFF" w:themeColor="background1"/>
                <w:lang w:val="en-US"/>
              </w:rPr>
              <w:t>(</w:t>
            </w:r>
            <w:r w:rsidRPr="00825B37">
              <w:rPr>
                <w:rFonts w:ascii="Tahoma" w:hAnsi="Tahoma" w:cs="Tahoma"/>
                <w:i/>
                <w:color w:val="FFFFFF" w:themeColor="background1"/>
                <w:lang w:val="en-US"/>
              </w:rPr>
              <w:t>Description of the competence</w:t>
            </w:r>
            <w:r w:rsidRPr="00825B37">
              <w:rPr>
                <w:rFonts w:ascii="Tahoma" w:hAnsi="Tahoma" w:cs="Tahoma"/>
                <w:color w:val="FFFFFF" w:themeColor="background1"/>
                <w:lang w:val="en-US"/>
              </w:rPr>
              <w:t>)</w:t>
            </w:r>
          </w:p>
        </w:tc>
      </w:tr>
      <w:tr w:rsidR="00C26276" w:rsidRPr="00B84BC4" w:rsidTr="00C26276">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C26276" w:rsidRDefault="00C26276" w:rsidP="00C26276">
            <w:pPr>
              <w:shd w:val="clear" w:color="auto" w:fill="FFFFFF" w:themeFill="background1"/>
              <w:rPr>
                <w:rFonts w:ascii="Tahoma" w:eastAsia="ヒラギノ角ゴ Pro W3" w:hAnsi="Tahoma" w:cs="Tahoma"/>
                <w:b/>
                <w:color w:val="000000"/>
                <w:kern w:val="24"/>
                <w:sz w:val="20"/>
                <w:szCs w:val="20"/>
                <w:lang w:eastAsia="fi-FI"/>
              </w:rPr>
            </w:pPr>
            <w:r w:rsidRPr="00C26276">
              <w:rPr>
                <w:rFonts w:ascii="Tahoma" w:eastAsia="ヒラギノ角ゴ Pro W3" w:hAnsi="Tahoma" w:cs="Tahoma"/>
                <w:b/>
                <w:color w:val="000000"/>
                <w:kern w:val="24"/>
                <w:sz w:val="20"/>
                <w:szCs w:val="20"/>
                <w:lang w:eastAsia="fi-FI"/>
              </w:rPr>
              <w:t>Oppimisen taidot</w:t>
            </w:r>
          </w:p>
          <w:p w:rsidR="00C26276" w:rsidRPr="00C26276" w:rsidRDefault="00C26276" w:rsidP="00C26276">
            <w:pPr>
              <w:shd w:val="clear" w:color="auto" w:fill="FFFFFF" w:themeFill="background1"/>
              <w:rPr>
                <w:rFonts w:ascii="Tahoma" w:hAnsi="Tahoma" w:cs="Tahoma"/>
                <w:i/>
                <w:sz w:val="22"/>
                <w:szCs w:val="22"/>
              </w:rPr>
            </w:pPr>
            <w:r w:rsidRPr="00C26276">
              <w:rPr>
                <w:rFonts w:ascii="Tahoma" w:eastAsia="ヒラギノ角ゴ Pro W3" w:hAnsi="Tahoma" w:cs="Tahoma"/>
                <w:i/>
                <w:color w:val="000000"/>
                <w:kern w:val="24"/>
                <w:sz w:val="20"/>
                <w:szCs w:val="20"/>
                <w:lang w:eastAsia="fi-FI"/>
              </w:rPr>
              <w:t xml:space="preserve">(Learning </w:t>
            </w:r>
            <w:proofErr w:type="spellStart"/>
            <w:r w:rsidRPr="00C26276">
              <w:rPr>
                <w:rFonts w:ascii="Tahoma" w:eastAsia="ヒラギノ角ゴ Pro W3" w:hAnsi="Tahoma" w:cs="Tahoma"/>
                <w:i/>
                <w:color w:val="000000"/>
                <w:kern w:val="24"/>
                <w:sz w:val="20"/>
                <w:szCs w:val="20"/>
                <w:lang w:eastAsia="fi-FI"/>
              </w:rPr>
              <w:t>competence</w:t>
            </w:r>
            <w:proofErr w:type="spellEnd"/>
            <w:r w:rsidRPr="00C26276">
              <w:rPr>
                <w:rFonts w:ascii="Tahoma" w:eastAsia="ヒラギノ角ゴ Pro W3" w:hAnsi="Tahoma" w:cs="Tahoma"/>
                <w:i/>
                <w:color w:val="000000"/>
                <w:kern w:val="24"/>
                <w:sz w:val="20"/>
                <w:szCs w:val="20"/>
                <w:lang w:eastAsia="fi-FI"/>
              </w:rPr>
              <w:t>)</w:t>
            </w:r>
          </w:p>
        </w:tc>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 xml:space="preserve">osaa arvioida ja kehittää osaamistaan ja oppimistapojaan </w:t>
            </w:r>
          </w:p>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 xml:space="preserve">osaa hankkia, käsitellä ja arvioida tietoa kriittisesti </w:t>
            </w:r>
          </w:p>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kykenee ottamaan vastuuta ryhmän oppimisesta ja opitun jakamisesta</w:t>
            </w:r>
          </w:p>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osaa yhdistää yrittäjämäisen toimintatavan osaksi ammatillista kehittymistään ja urasuunnitteluaan</w:t>
            </w:r>
          </w:p>
        </w:tc>
      </w:tr>
      <w:tr w:rsidR="00C26276" w:rsidRPr="00B84BC4" w:rsidTr="00C26276">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C26276" w:rsidRDefault="00C26276" w:rsidP="00C26276">
            <w:pPr>
              <w:shd w:val="clear" w:color="auto" w:fill="FFFFFF" w:themeFill="background1"/>
              <w:rPr>
                <w:rFonts w:ascii="Tahoma" w:eastAsia="ヒラギノ角ゴ Pro W3" w:hAnsi="Tahoma" w:cs="Tahoma"/>
                <w:b/>
                <w:color w:val="000000"/>
                <w:kern w:val="24"/>
                <w:sz w:val="20"/>
                <w:szCs w:val="20"/>
                <w:lang w:eastAsia="fi-FI"/>
              </w:rPr>
            </w:pPr>
            <w:r w:rsidRPr="00C26276">
              <w:rPr>
                <w:rFonts w:ascii="Tahoma" w:eastAsia="ヒラギノ角ゴ Pro W3" w:hAnsi="Tahoma" w:cs="Tahoma"/>
                <w:b/>
                <w:color w:val="000000"/>
                <w:kern w:val="24"/>
                <w:sz w:val="20"/>
                <w:szCs w:val="20"/>
                <w:lang w:eastAsia="fi-FI"/>
              </w:rPr>
              <w:t>Eettinen osaaminen</w:t>
            </w:r>
          </w:p>
          <w:p w:rsidR="00C26276" w:rsidRPr="00C26276" w:rsidRDefault="00C26276" w:rsidP="00C26276">
            <w:pPr>
              <w:shd w:val="clear" w:color="auto" w:fill="FFFFFF" w:themeFill="background1"/>
              <w:rPr>
                <w:rFonts w:ascii="Tahoma" w:hAnsi="Tahoma" w:cs="Tahoma"/>
                <w:sz w:val="22"/>
                <w:szCs w:val="22"/>
              </w:rPr>
            </w:pPr>
            <w:r w:rsidRPr="00C26276">
              <w:rPr>
                <w:rFonts w:ascii="Tahoma" w:eastAsia="ヒラギノ角ゴ Pro W3" w:hAnsi="Tahoma" w:cs="Tahoma"/>
                <w:i/>
                <w:color w:val="000000"/>
                <w:kern w:val="24"/>
                <w:sz w:val="20"/>
                <w:szCs w:val="20"/>
                <w:lang w:eastAsia="fi-FI"/>
              </w:rPr>
              <w:t>(</w:t>
            </w:r>
            <w:proofErr w:type="spellStart"/>
            <w:r w:rsidRPr="00C26276">
              <w:rPr>
                <w:rFonts w:ascii="Tahoma" w:eastAsia="ヒラギノ角ゴ Pro W3" w:hAnsi="Tahoma" w:cs="Tahoma"/>
                <w:i/>
                <w:color w:val="000000"/>
                <w:kern w:val="24"/>
                <w:sz w:val="20"/>
                <w:szCs w:val="20"/>
                <w:lang w:eastAsia="fi-FI"/>
              </w:rPr>
              <w:t>Ethical</w:t>
            </w:r>
            <w:proofErr w:type="spellEnd"/>
            <w:r w:rsidRPr="00C26276">
              <w:rPr>
                <w:rFonts w:ascii="Tahoma" w:eastAsia="ヒラギノ角ゴ Pro W3" w:hAnsi="Tahoma" w:cs="Tahoma"/>
                <w:i/>
                <w:color w:val="000000"/>
                <w:kern w:val="24"/>
                <w:sz w:val="20"/>
                <w:szCs w:val="20"/>
                <w:lang w:eastAsia="fi-FI"/>
              </w:rPr>
              <w:t xml:space="preserve"> </w:t>
            </w:r>
            <w:proofErr w:type="spellStart"/>
            <w:r w:rsidRPr="00C26276">
              <w:rPr>
                <w:rFonts w:ascii="Tahoma" w:eastAsia="ヒラギノ角ゴ Pro W3" w:hAnsi="Tahoma" w:cs="Tahoma"/>
                <w:i/>
                <w:color w:val="000000"/>
                <w:kern w:val="24"/>
                <w:sz w:val="20"/>
                <w:szCs w:val="20"/>
                <w:lang w:eastAsia="fi-FI"/>
              </w:rPr>
              <w:t>competence</w:t>
            </w:r>
            <w:proofErr w:type="spellEnd"/>
            <w:r w:rsidRPr="00C26276">
              <w:rPr>
                <w:rFonts w:ascii="Tahoma" w:eastAsia="ヒラギノ角ゴ Pro W3" w:hAnsi="Tahoma" w:cs="Tahoma"/>
                <w:i/>
                <w:color w:val="000000"/>
                <w:kern w:val="24"/>
                <w:sz w:val="20"/>
                <w:szCs w:val="20"/>
                <w:lang w:eastAsia="fi-FI"/>
              </w:rPr>
              <w:t>)</w:t>
            </w:r>
          </w:p>
        </w:tc>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 xml:space="preserve">kykenee ottamaan vastuun omasta toiminnastaan ja sen seurauksista </w:t>
            </w:r>
          </w:p>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 xml:space="preserve">osaa toimia alansa ammattieettisten periaatteiden mukaisesti </w:t>
            </w:r>
          </w:p>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 xml:space="preserve">osaa ottaa erilaiset toimijat huomioon työskentelyssään </w:t>
            </w:r>
          </w:p>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 xml:space="preserve">osaa soveltaa tasa-arvoisuuden periaatteita </w:t>
            </w:r>
          </w:p>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 xml:space="preserve">osaa soveltaa kestävän kehityksen periaatteita </w:t>
            </w:r>
          </w:p>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 xml:space="preserve">kykenee vaikuttamaan yhteiskunnallisesti osaamistaan hyödyntäen ja eettisiin arvoihin perustuen </w:t>
            </w:r>
          </w:p>
        </w:tc>
      </w:tr>
      <w:tr w:rsidR="00C26276" w:rsidRPr="00B84BC4" w:rsidTr="00C26276">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C26276" w:rsidRDefault="00C26276" w:rsidP="00C26276">
            <w:pPr>
              <w:shd w:val="clear" w:color="auto" w:fill="FFFFFF" w:themeFill="background1"/>
              <w:rPr>
                <w:rFonts w:ascii="Tahoma" w:eastAsia="ヒラギノ角ゴ Pro W3" w:hAnsi="Tahoma" w:cs="Tahoma"/>
                <w:b/>
                <w:color w:val="000000"/>
                <w:kern w:val="24"/>
                <w:sz w:val="20"/>
                <w:szCs w:val="20"/>
                <w:lang w:eastAsia="fi-FI"/>
              </w:rPr>
            </w:pPr>
            <w:r w:rsidRPr="00C26276">
              <w:rPr>
                <w:rFonts w:ascii="Tahoma" w:eastAsia="ヒラギノ角ゴ Pro W3" w:hAnsi="Tahoma" w:cs="Tahoma"/>
                <w:b/>
                <w:color w:val="000000"/>
                <w:kern w:val="24"/>
                <w:sz w:val="20"/>
                <w:szCs w:val="20"/>
                <w:lang w:eastAsia="fi-FI"/>
              </w:rPr>
              <w:t>Työyhteisöosaaminen</w:t>
            </w:r>
          </w:p>
          <w:p w:rsidR="00C26276" w:rsidRPr="00C26276" w:rsidRDefault="00C26276" w:rsidP="00C26276">
            <w:pPr>
              <w:shd w:val="clear" w:color="auto" w:fill="FFFFFF" w:themeFill="background1"/>
              <w:rPr>
                <w:rFonts w:ascii="Tahoma" w:hAnsi="Tahoma" w:cs="Tahoma"/>
                <w:i/>
                <w:sz w:val="22"/>
                <w:szCs w:val="22"/>
              </w:rPr>
            </w:pPr>
            <w:r w:rsidRPr="00C26276">
              <w:rPr>
                <w:rFonts w:ascii="Tahoma" w:eastAsia="ヒラギノ角ゴ Pro W3" w:hAnsi="Tahoma" w:cs="Tahoma"/>
                <w:i/>
                <w:color w:val="000000"/>
                <w:kern w:val="24"/>
                <w:sz w:val="20"/>
                <w:szCs w:val="20"/>
                <w:lang w:eastAsia="fi-FI"/>
              </w:rPr>
              <w:t>(</w:t>
            </w:r>
            <w:proofErr w:type="spellStart"/>
            <w:r w:rsidRPr="00C26276">
              <w:rPr>
                <w:rFonts w:ascii="Tahoma" w:eastAsia="ヒラギノ角ゴ Pro W3" w:hAnsi="Tahoma" w:cs="Tahoma"/>
                <w:i/>
                <w:color w:val="000000"/>
                <w:kern w:val="24"/>
                <w:sz w:val="20"/>
                <w:szCs w:val="20"/>
                <w:lang w:eastAsia="fi-FI"/>
              </w:rPr>
              <w:t>Working</w:t>
            </w:r>
            <w:proofErr w:type="spellEnd"/>
            <w:r w:rsidRPr="00C26276">
              <w:rPr>
                <w:rFonts w:ascii="Tahoma" w:eastAsia="ヒラギノ角ゴ Pro W3" w:hAnsi="Tahoma" w:cs="Tahoma"/>
                <w:i/>
                <w:color w:val="000000"/>
                <w:kern w:val="24"/>
                <w:sz w:val="20"/>
                <w:szCs w:val="20"/>
                <w:lang w:eastAsia="fi-FI"/>
              </w:rPr>
              <w:t xml:space="preserve"> </w:t>
            </w:r>
            <w:proofErr w:type="spellStart"/>
            <w:r w:rsidRPr="00C26276">
              <w:rPr>
                <w:rFonts w:ascii="Tahoma" w:eastAsia="ヒラギノ角ゴ Pro W3" w:hAnsi="Tahoma" w:cs="Tahoma"/>
                <w:i/>
                <w:color w:val="000000"/>
                <w:kern w:val="24"/>
                <w:sz w:val="20"/>
                <w:szCs w:val="20"/>
                <w:lang w:eastAsia="fi-FI"/>
              </w:rPr>
              <w:t>community</w:t>
            </w:r>
            <w:proofErr w:type="spellEnd"/>
            <w:r w:rsidRPr="00C26276">
              <w:rPr>
                <w:rFonts w:ascii="Tahoma" w:eastAsia="ヒラギノ角ゴ Pro W3" w:hAnsi="Tahoma" w:cs="Tahoma"/>
                <w:i/>
                <w:color w:val="000000"/>
                <w:kern w:val="24"/>
                <w:sz w:val="20"/>
                <w:szCs w:val="20"/>
                <w:lang w:eastAsia="fi-FI"/>
              </w:rPr>
              <w:t xml:space="preserve"> </w:t>
            </w:r>
            <w:proofErr w:type="spellStart"/>
            <w:r w:rsidRPr="00C26276">
              <w:rPr>
                <w:rFonts w:ascii="Tahoma" w:eastAsia="ヒラギノ角ゴ Pro W3" w:hAnsi="Tahoma" w:cs="Tahoma"/>
                <w:i/>
                <w:color w:val="000000"/>
                <w:kern w:val="24"/>
                <w:sz w:val="20"/>
                <w:szCs w:val="20"/>
                <w:lang w:eastAsia="fi-FI"/>
              </w:rPr>
              <w:t>competence</w:t>
            </w:r>
            <w:proofErr w:type="spellEnd"/>
            <w:r w:rsidRPr="00C26276">
              <w:rPr>
                <w:rFonts w:ascii="Tahoma" w:eastAsia="ヒラギノ角ゴ Pro W3" w:hAnsi="Tahoma" w:cs="Tahoma"/>
                <w:i/>
                <w:color w:val="000000"/>
                <w:kern w:val="24"/>
                <w:sz w:val="20"/>
                <w:szCs w:val="20"/>
                <w:lang w:eastAsia="fi-FI"/>
              </w:rPr>
              <w:t>)</w:t>
            </w:r>
          </w:p>
        </w:tc>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 xml:space="preserve">osaa toimia työyhteisön jäsenenä ja edistää yhteisön hyvinvointia </w:t>
            </w:r>
          </w:p>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 xml:space="preserve">tehdä päätöksiä ennakoimattomissa tilanteissa </w:t>
            </w:r>
          </w:p>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kykenee työn johtamiseen ja itsenäiseen työskentelyyn asiantuntijatehtävissä</w:t>
            </w:r>
          </w:p>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 xml:space="preserve">omaa valmiuksia yrittäjyyteen </w:t>
            </w:r>
          </w:p>
        </w:tc>
      </w:tr>
      <w:tr w:rsidR="00C26276" w:rsidRPr="00B84BC4" w:rsidTr="00C26276">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C26276" w:rsidRDefault="00C26276" w:rsidP="00C26276">
            <w:pPr>
              <w:shd w:val="clear" w:color="auto" w:fill="FFFFFF" w:themeFill="background1"/>
              <w:rPr>
                <w:rFonts w:ascii="Tahoma" w:eastAsia="ヒラギノ角ゴ Pro W3" w:hAnsi="Tahoma" w:cs="Tahoma"/>
                <w:b/>
                <w:color w:val="000000"/>
                <w:kern w:val="24"/>
                <w:sz w:val="20"/>
                <w:szCs w:val="20"/>
                <w:lang w:eastAsia="fi-FI"/>
              </w:rPr>
            </w:pPr>
            <w:r w:rsidRPr="00C26276">
              <w:rPr>
                <w:rFonts w:ascii="Tahoma" w:eastAsia="ヒラギノ角ゴ Pro W3" w:hAnsi="Tahoma" w:cs="Tahoma"/>
                <w:b/>
                <w:color w:val="000000"/>
                <w:kern w:val="24"/>
                <w:sz w:val="20"/>
                <w:szCs w:val="20"/>
                <w:lang w:eastAsia="fi-FI"/>
              </w:rPr>
              <w:t>Innovaatio-osaaminen</w:t>
            </w:r>
          </w:p>
          <w:p w:rsidR="00C26276" w:rsidRPr="00C26276" w:rsidRDefault="00C26276" w:rsidP="00C26276">
            <w:pPr>
              <w:shd w:val="clear" w:color="auto" w:fill="FFFFFF" w:themeFill="background1"/>
              <w:rPr>
                <w:rFonts w:ascii="Tahoma" w:hAnsi="Tahoma" w:cs="Tahoma"/>
                <w:i/>
                <w:sz w:val="22"/>
                <w:szCs w:val="22"/>
              </w:rPr>
            </w:pPr>
            <w:r w:rsidRPr="00C26276">
              <w:rPr>
                <w:rFonts w:ascii="Tahoma" w:eastAsia="ヒラギノ角ゴ Pro W3" w:hAnsi="Tahoma" w:cs="Tahoma"/>
                <w:i/>
                <w:color w:val="000000"/>
                <w:kern w:val="24"/>
                <w:sz w:val="20"/>
                <w:szCs w:val="20"/>
                <w:lang w:eastAsia="fi-FI"/>
              </w:rPr>
              <w:t xml:space="preserve">(Innovation </w:t>
            </w:r>
            <w:proofErr w:type="spellStart"/>
            <w:r w:rsidRPr="00C26276">
              <w:rPr>
                <w:rFonts w:ascii="Tahoma" w:eastAsia="ヒラギノ角ゴ Pro W3" w:hAnsi="Tahoma" w:cs="Tahoma"/>
                <w:i/>
                <w:color w:val="000000"/>
                <w:kern w:val="24"/>
                <w:sz w:val="20"/>
                <w:szCs w:val="20"/>
                <w:lang w:eastAsia="fi-FI"/>
              </w:rPr>
              <w:t>competence</w:t>
            </w:r>
            <w:proofErr w:type="spellEnd"/>
            <w:r w:rsidRPr="00C26276">
              <w:rPr>
                <w:rFonts w:ascii="Tahoma" w:eastAsia="ヒラギノ角ゴ Pro W3" w:hAnsi="Tahoma" w:cs="Tahoma"/>
                <w:i/>
                <w:color w:val="000000"/>
                <w:kern w:val="24"/>
                <w:sz w:val="20"/>
                <w:szCs w:val="20"/>
                <w:lang w:eastAsia="fi-FI"/>
              </w:rPr>
              <w:t>)</w:t>
            </w:r>
          </w:p>
        </w:tc>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 xml:space="preserve">kykenee luovaan ongelmanratkaisuun ja työtapojen kehittämiseen </w:t>
            </w:r>
          </w:p>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 xml:space="preserve">osaa työskennellä projekteissa </w:t>
            </w:r>
          </w:p>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lastRenderedPageBreak/>
              <w:t xml:space="preserve">osaa toteuttaa tutkimus- ja kehittämishankkeita soveltaen alan olemassa olevaa tietoa ja menetelmiä </w:t>
            </w:r>
          </w:p>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 xml:space="preserve">osaa etsiä asiakaslähtöisiä, kestäviä ja taloudellisesti kannattavia ratkaisuja </w:t>
            </w:r>
          </w:p>
        </w:tc>
      </w:tr>
      <w:tr w:rsidR="00C26276" w:rsidRPr="00B84BC4" w:rsidTr="00C26276">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C26276" w:rsidRDefault="00C26276" w:rsidP="00C26276">
            <w:pPr>
              <w:shd w:val="clear" w:color="auto" w:fill="FFFFFF" w:themeFill="background1"/>
              <w:rPr>
                <w:rFonts w:ascii="Tahoma" w:eastAsia="ヒラギノ角ゴ Pro W3" w:hAnsi="Tahoma" w:cs="Tahoma"/>
                <w:b/>
                <w:color w:val="000000"/>
                <w:kern w:val="24"/>
                <w:sz w:val="20"/>
                <w:szCs w:val="20"/>
                <w:lang w:eastAsia="fi-FI"/>
              </w:rPr>
            </w:pPr>
            <w:r w:rsidRPr="00C26276">
              <w:rPr>
                <w:rFonts w:ascii="Tahoma" w:eastAsia="ヒラギノ角ゴ Pro W3" w:hAnsi="Tahoma" w:cs="Tahoma"/>
                <w:b/>
                <w:color w:val="000000"/>
                <w:kern w:val="24"/>
                <w:sz w:val="20"/>
                <w:szCs w:val="20"/>
                <w:lang w:eastAsia="fi-FI"/>
              </w:rPr>
              <w:lastRenderedPageBreak/>
              <w:t>Kansainvälisyysosaaminen</w:t>
            </w:r>
          </w:p>
          <w:p w:rsidR="00C26276" w:rsidRPr="00C26276" w:rsidRDefault="00C26276" w:rsidP="00C26276">
            <w:pPr>
              <w:shd w:val="clear" w:color="auto" w:fill="FFFFFF" w:themeFill="background1"/>
              <w:rPr>
                <w:rFonts w:ascii="Tahoma" w:hAnsi="Tahoma" w:cs="Tahoma"/>
                <w:sz w:val="22"/>
                <w:szCs w:val="22"/>
              </w:rPr>
            </w:pPr>
            <w:r w:rsidRPr="00C26276">
              <w:rPr>
                <w:rFonts w:ascii="Tahoma" w:eastAsia="ヒラギノ角ゴ Pro W3" w:hAnsi="Tahoma" w:cs="Tahoma"/>
                <w:i/>
                <w:color w:val="000000"/>
                <w:kern w:val="24"/>
                <w:sz w:val="20"/>
                <w:szCs w:val="20"/>
                <w:lang w:eastAsia="fi-FI"/>
              </w:rPr>
              <w:t xml:space="preserve">(International </w:t>
            </w:r>
            <w:proofErr w:type="spellStart"/>
            <w:r w:rsidRPr="00C26276">
              <w:rPr>
                <w:rFonts w:ascii="Tahoma" w:eastAsia="ヒラギノ角ゴ Pro W3" w:hAnsi="Tahoma" w:cs="Tahoma"/>
                <w:i/>
                <w:color w:val="000000"/>
                <w:kern w:val="24"/>
                <w:sz w:val="20"/>
                <w:szCs w:val="20"/>
                <w:lang w:eastAsia="fi-FI"/>
              </w:rPr>
              <w:t>competence</w:t>
            </w:r>
            <w:proofErr w:type="spellEnd"/>
            <w:r w:rsidRPr="00C26276">
              <w:rPr>
                <w:rFonts w:ascii="Tahoma" w:eastAsia="ヒラギノ角ゴ Pro W3" w:hAnsi="Tahoma" w:cs="Tahoma"/>
                <w:i/>
                <w:color w:val="000000"/>
                <w:kern w:val="24"/>
                <w:sz w:val="20"/>
                <w:szCs w:val="20"/>
                <w:lang w:eastAsia="fi-FI"/>
              </w:rPr>
              <w:t>)</w:t>
            </w:r>
          </w:p>
        </w:tc>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omaa alansa työtehtävissä ja niissä kehittymisessä tarvittavan kielitaidon</w:t>
            </w:r>
          </w:p>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 xml:space="preserve">kykenee monikulttuuriseen yhteistyöhön </w:t>
            </w:r>
          </w:p>
          <w:p w:rsidR="00C26276" w:rsidRPr="00C26276" w:rsidRDefault="00C26276" w:rsidP="00C26276">
            <w:pPr>
              <w:pStyle w:val="Luettelokappale"/>
              <w:numPr>
                <w:ilvl w:val="0"/>
                <w:numId w:val="19"/>
              </w:numPr>
              <w:shd w:val="clear" w:color="auto" w:fill="FFFFFF" w:themeFill="background1"/>
              <w:rPr>
                <w:rFonts w:ascii="Tahoma" w:eastAsia="ヒラギノ角ゴ Pro W3" w:hAnsi="Tahoma" w:cs="Tahoma"/>
                <w:color w:val="000000"/>
                <w:kern w:val="24"/>
                <w:sz w:val="20"/>
                <w:szCs w:val="20"/>
                <w:lang w:eastAsia="fi-FI"/>
              </w:rPr>
            </w:pPr>
            <w:r w:rsidRPr="00C26276">
              <w:rPr>
                <w:rFonts w:ascii="Tahoma" w:eastAsia="ヒラギノ角ゴ Pro W3" w:hAnsi="Tahoma" w:cs="Tahoma"/>
                <w:color w:val="000000"/>
                <w:kern w:val="24"/>
                <w:sz w:val="20"/>
                <w:szCs w:val="20"/>
                <w:lang w:eastAsia="fi-FI"/>
              </w:rPr>
              <w:t xml:space="preserve">osaa ottaa työssään huomioon alansa kansainvälisyyskehityksen vaikutuksia ja mahdollisuuksia </w:t>
            </w:r>
          </w:p>
        </w:tc>
      </w:tr>
    </w:tbl>
    <w:p w:rsidR="00C26276" w:rsidRDefault="00C26276" w:rsidP="000B092A"/>
    <w:p w:rsidR="00C26276" w:rsidRDefault="00C26276" w:rsidP="000B092A">
      <w:r>
        <w:t xml:space="preserve">TB16SP_3 </w:t>
      </w:r>
    </w:p>
    <w:p w:rsidR="00C26276" w:rsidRDefault="00C26276" w:rsidP="000B092A"/>
    <w:tbl>
      <w:tblPr>
        <w:tblW w:w="9631" w:type="dxa"/>
        <w:tblLayout w:type="fixed"/>
        <w:tblCellMar>
          <w:top w:w="15" w:type="dxa"/>
          <w:left w:w="15" w:type="dxa"/>
          <w:bottom w:w="15" w:type="dxa"/>
          <w:right w:w="15" w:type="dxa"/>
        </w:tblCellMar>
        <w:tblLook w:val="04A0" w:firstRow="1" w:lastRow="0" w:firstColumn="1" w:lastColumn="0" w:noHBand="0" w:noVBand="1"/>
      </w:tblPr>
      <w:tblGrid>
        <w:gridCol w:w="1977"/>
        <w:gridCol w:w="4819"/>
        <w:gridCol w:w="2835"/>
      </w:tblGrid>
      <w:tr w:rsidR="006929B5" w:rsidRPr="00EE08CC" w:rsidTr="006929B5">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33CCCC"/>
            <w:tcMar>
              <w:top w:w="0" w:type="dxa"/>
              <w:left w:w="105" w:type="dxa"/>
              <w:bottom w:w="0" w:type="dxa"/>
              <w:right w:w="105" w:type="dxa"/>
            </w:tcMar>
            <w:hideMark/>
          </w:tcPr>
          <w:p w:rsidR="00C26276" w:rsidRPr="00825B37" w:rsidRDefault="00C26276" w:rsidP="00C10B89">
            <w:pPr>
              <w:jc w:val="both"/>
              <w:rPr>
                <w:rFonts w:ascii="Tahoma" w:hAnsi="Tahoma" w:cs="Tahoma"/>
                <w:color w:val="FFFFFF" w:themeColor="background1"/>
                <w:lang w:eastAsia="fi-FI"/>
              </w:rPr>
            </w:pPr>
            <w:r w:rsidRPr="00825B37">
              <w:rPr>
                <w:rFonts w:ascii="Tahoma" w:hAnsi="Tahoma" w:cs="Tahoma"/>
                <w:b/>
                <w:bCs/>
                <w:color w:val="FFFFFF" w:themeColor="background1"/>
                <w:lang w:eastAsia="fi-FI"/>
              </w:rPr>
              <w:t>Kompetenssit</w:t>
            </w:r>
          </w:p>
        </w:tc>
        <w:tc>
          <w:tcPr>
            <w:tcW w:w="4819" w:type="dxa"/>
            <w:tcBorders>
              <w:top w:val="single" w:sz="6" w:space="0" w:color="000000"/>
              <w:left w:val="single" w:sz="6" w:space="0" w:color="000000"/>
              <w:bottom w:val="single" w:sz="6" w:space="0" w:color="000000"/>
              <w:right w:val="single" w:sz="6" w:space="0" w:color="000000"/>
            </w:tcBorders>
            <w:shd w:val="clear" w:color="auto" w:fill="33CCCC"/>
            <w:tcMar>
              <w:top w:w="0" w:type="dxa"/>
              <w:left w:w="105" w:type="dxa"/>
              <w:bottom w:w="0" w:type="dxa"/>
              <w:right w:w="105" w:type="dxa"/>
            </w:tcMar>
            <w:hideMark/>
          </w:tcPr>
          <w:p w:rsidR="00C26276" w:rsidRPr="00825B37" w:rsidRDefault="00C26276" w:rsidP="00C10B89">
            <w:pPr>
              <w:rPr>
                <w:rFonts w:ascii="Tahoma" w:hAnsi="Tahoma" w:cs="Tahoma"/>
                <w:color w:val="FFFFFF" w:themeColor="background1"/>
                <w:lang w:eastAsia="fi-FI"/>
              </w:rPr>
            </w:pPr>
            <w:r w:rsidRPr="00825B37">
              <w:rPr>
                <w:rFonts w:ascii="Tahoma" w:hAnsi="Tahoma" w:cs="Tahoma"/>
                <w:b/>
                <w:bCs/>
                <w:color w:val="FFFFFF" w:themeColor="background1"/>
                <w:lang w:eastAsia="fi-FI"/>
              </w:rPr>
              <w:t>Osaamistavoitteet: Bioanalyytikko</w:t>
            </w:r>
          </w:p>
        </w:tc>
        <w:tc>
          <w:tcPr>
            <w:tcW w:w="2835" w:type="dxa"/>
            <w:tcBorders>
              <w:top w:val="single" w:sz="6" w:space="0" w:color="000000"/>
              <w:left w:val="single" w:sz="6" w:space="0" w:color="000000"/>
              <w:bottom w:val="single" w:sz="6" w:space="0" w:color="000000"/>
              <w:right w:val="single" w:sz="6" w:space="0" w:color="000000"/>
            </w:tcBorders>
            <w:shd w:val="clear" w:color="auto" w:fill="33CCCC"/>
            <w:tcMar>
              <w:top w:w="0" w:type="dxa"/>
              <w:left w:w="105" w:type="dxa"/>
              <w:bottom w:w="0" w:type="dxa"/>
              <w:right w:w="105" w:type="dxa"/>
            </w:tcMar>
            <w:hideMark/>
          </w:tcPr>
          <w:p w:rsidR="00C26276" w:rsidRPr="00825B37" w:rsidRDefault="006929B5" w:rsidP="00C10B89">
            <w:pPr>
              <w:rPr>
                <w:rFonts w:ascii="Tahoma" w:hAnsi="Tahoma" w:cs="Tahoma"/>
                <w:color w:val="FFFFFF" w:themeColor="background1"/>
                <w:lang w:eastAsia="fi-FI"/>
              </w:rPr>
            </w:pPr>
            <w:r w:rsidRPr="00825B37">
              <w:rPr>
                <w:rFonts w:ascii="Tahoma" w:hAnsi="Tahoma" w:cs="Tahoma"/>
                <w:b/>
                <w:bCs/>
                <w:color w:val="FFFFFF" w:themeColor="background1"/>
                <w:lang w:eastAsia="fi-FI"/>
              </w:rPr>
              <w:t>Keskeiset sisällöt</w:t>
            </w:r>
          </w:p>
        </w:tc>
      </w:tr>
      <w:tr w:rsidR="00C26276" w:rsidRPr="00EE08CC" w:rsidTr="006929B5">
        <w:trPr>
          <w:trHeight w:val="2834"/>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26276" w:rsidRPr="00825B37" w:rsidRDefault="00C26276" w:rsidP="00C10B89">
            <w:pPr>
              <w:rPr>
                <w:rFonts w:ascii="Tahoma" w:hAnsi="Tahoma" w:cs="Tahoma"/>
                <w:b/>
                <w:bCs/>
                <w:sz w:val="20"/>
                <w:szCs w:val="20"/>
                <w:lang w:eastAsia="fi-FI"/>
              </w:rPr>
            </w:pPr>
            <w:r w:rsidRPr="00825B37">
              <w:rPr>
                <w:rFonts w:ascii="Tahoma" w:hAnsi="Tahoma" w:cs="Tahoma"/>
                <w:b/>
                <w:bCs/>
                <w:sz w:val="20"/>
                <w:szCs w:val="20"/>
                <w:lang w:eastAsia="fi-FI"/>
              </w:rPr>
              <w:t xml:space="preserve">Kliinisen laboratoriotyön perusteet: </w:t>
            </w:r>
          </w:p>
          <w:p w:rsidR="00C26276" w:rsidRPr="00825B37" w:rsidRDefault="00C26276" w:rsidP="00C10B89">
            <w:pPr>
              <w:rPr>
                <w:rFonts w:ascii="Tahoma" w:hAnsi="Tahoma" w:cs="Tahoma"/>
                <w:sz w:val="20"/>
                <w:szCs w:val="20"/>
                <w:lang w:eastAsia="fi-FI"/>
              </w:rPr>
            </w:pPr>
            <w:r w:rsidRPr="00825B37">
              <w:rPr>
                <w:rFonts w:ascii="Tahoma" w:hAnsi="Tahoma" w:cs="Tahoma"/>
                <w:b/>
                <w:bCs/>
                <w:sz w:val="20"/>
                <w:szCs w:val="20"/>
                <w:lang w:eastAsia="fi-FI"/>
              </w:rPr>
              <w:t>Biolääk</w:t>
            </w:r>
            <w:r w:rsidRPr="00825B37">
              <w:rPr>
                <w:rFonts w:ascii="Tahoma" w:hAnsi="Tahoma" w:cs="Tahoma"/>
                <w:b/>
                <w:bCs/>
                <w:sz w:val="20"/>
                <w:szCs w:val="20"/>
                <w:lang w:eastAsia="fi-FI"/>
              </w:rPr>
              <w:t>etieteellinen osaaminen</w:t>
            </w:r>
          </w:p>
          <w:p w:rsidR="00C26276" w:rsidRPr="00825B37" w:rsidRDefault="00C26276" w:rsidP="00C10B89">
            <w:pPr>
              <w:rPr>
                <w:rFonts w:ascii="Tahoma" w:hAnsi="Tahoma" w:cs="Tahoma"/>
                <w:sz w:val="20"/>
                <w:szCs w:val="20"/>
                <w:lang w:eastAsia="fi-FI"/>
              </w:rPr>
            </w:pP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26276" w:rsidRPr="00825B37" w:rsidRDefault="00C26276" w:rsidP="00C26276">
            <w:pPr>
              <w:numPr>
                <w:ilvl w:val="0"/>
                <w:numId w:val="7"/>
              </w:numPr>
              <w:textAlignment w:val="baseline"/>
              <w:rPr>
                <w:rFonts w:ascii="Tahoma" w:hAnsi="Tahoma" w:cs="Tahoma"/>
                <w:sz w:val="20"/>
                <w:szCs w:val="20"/>
                <w:lang w:eastAsia="fi-FI"/>
              </w:rPr>
            </w:pPr>
            <w:r w:rsidRPr="00825B37">
              <w:rPr>
                <w:rFonts w:ascii="Tahoma" w:hAnsi="Tahoma" w:cs="Tahoma"/>
                <w:sz w:val="20"/>
                <w:szCs w:val="20"/>
                <w:lang w:eastAsia="fi-FI"/>
              </w:rPr>
              <w:t xml:space="preserve">arvioi ihmisen elimistön perustoimintoja, poikkeavuuksia tautiprosesseissa ja soveltaa näitä tietoja toiminnassaan </w:t>
            </w:r>
          </w:p>
          <w:p w:rsidR="00C26276" w:rsidRPr="00825B37" w:rsidRDefault="00C26276" w:rsidP="00C26276">
            <w:pPr>
              <w:numPr>
                <w:ilvl w:val="0"/>
                <w:numId w:val="7"/>
              </w:numPr>
              <w:textAlignment w:val="baseline"/>
              <w:rPr>
                <w:rFonts w:ascii="Tahoma" w:hAnsi="Tahoma" w:cs="Tahoma"/>
                <w:sz w:val="20"/>
                <w:szCs w:val="20"/>
                <w:lang w:eastAsia="fi-FI"/>
              </w:rPr>
            </w:pPr>
            <w:r w:rsidRPr="00825B37">
              <w:rPr>
                <w:rFonts w:ascii="Tahoma" w:hAnsi="Tahoma" w:cs="Tahoma"/>
                <w:sz w:val="20"/>
                <w:szCs w:val="20"/>
                <w:lang w:eastAsia="fi-FI"/>
              </w:rPr>
              <w:t xml:space="preserve">käyttää biolääketieteellistä osaamistaan kliinisen laboratoriotutkimusprosessin </w:t>
            </w:r>
            <w:proofErr w:type="spellStart"/>
            <w:r w:rsidRPr="00825B37">
              <w:rPr>
                <w:rFonts w:ascii="Tahoma" w:hAnsi="Tahoma" w:cs="Tahoma"/>
                <w:sz w:val="20"/>
                <w:szCs w:val="20"/>
                <w:lang w:eastAsia="fi-FI"/>
              </w:rPr>
              <w:t>preanalyyttisessä</w:t>
            </w:r>
            <w:proofErr w:type="spellEnd"/>
            <w:r w:rsidRPr="00825B37">
              <w:rPr>
                <w:rFonts w:ascii="Tahoma" w:hAnsi="Tahoma" w:cs="Tahoma"/>
                <w:sz w:val="20"/>
                <w:szCs w:val="20"/>
                <w:lang w:eastAsia="fi-FI"/>
              </w:rPr>
              <w:t>, analyyttisessä ja postanalyyttisessä vaiheessa sekä näiden vaiheiden arvioinnissa</w:t>
            </w:r>
          </w:p>
          <w:p w:rsidR="00C26276" w:rsidRPr="00825B37" w:rsidRDefault="00C26276" w:rsidP="00C26276">
            <w:pPr>
              <w:numPr>
                <w:ilvl w:val="0"/>
                <w:numId w:val="7"/>
              </w:numPr>
              <w:textAlignment w:val="baseline"/>
              <w:rPr>
                <w:rFonts w:ascii="Tahoma" w:hAnsi="Tahoma" w:cs="Tahoma"/>
                <w:sz w:val="20"/>
                <w:szCs w:val="20"/>
                <w:lang w:eastAsia="fi-FI"/>
              </w:rPr>
            </w:pPr>
            <w:r w:rsidRPr="00825B37">
              <w:rPr>
                <w:rFonts w:ascii="Tahoma" w:hAnsi="Tahoma" w:cs="Tahoma"/>
                <w:sz w:val="20"/>
                <w:szCs w:val="20"/>
                <w:lang w:eastAsia="fi-FI"/>
              </w:rPr>
              <w:t xml:space="preserve">arvioi laboratoriotutkimusten käyttötarkoitusta ihmisten terveyden edistämisessä, sairauksien diagnostisoinnissa, hoidon vaikuttavuuden arvioinnissa ja hoitomenetelmien kehittämisessä. </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sz w:val="20"/>
                <w:szCs w:val="20"/>
                <w:lang w:eastAsia="fi-FI"/>
              </w:rPr>
            </w:pPr>
            <w:r w:rsidRPr="00825B37">
              <w:rPr>
                <w:rFonts w:ascii="Tahoma" w:hAnsi="Tahoma" w:cs="Tahoma"/>
                <w:bCs/>
                <w:sz w:val="20"/>
                <w:szCs w:val="20"/>
                <w:lang w:eastAsia="fi-FI"/>
              </w:rPr>
              <w:t>Biolääketieteellinen</w:t>
            </w:r>
            <w:r w:rsidRPr="00825B37">
              <w:rPr>
                <w:rFonts w:ascii="Tahoma" w:hAnsi="Tahoma" w:cs="Tahoma"/>
                <w:sz w:val="20"/>
                <w:szCs w:val="20"/>
                <w:lang w:eastAsia="fi-FI"/>
              </w:rPr>
              <w:t xml:space="preserve"> terminologia</w:t>
            </w:r>
          </w:p>
          <w:p w:rsidR="00C26276" w:rsidRPr="00825B37" w:rsidRDefault="00C26276" w:rsidP="00C26276">
            <w:pPr>
              <w:numPr>
                <w:ilvl w:val="0"/>
                <w:numId w:val="8"/>
              </w:numPr>
              <w:spacing w:before="100" w:beforeAutospacing="1" w:after="100" w:afterAutospacing="1"/>
              <w:ind w:left="276" w:hanging="276"/>
              <w:textAlignment w:val="baseline"/>
              <w:rPr>
                <w:rStyle w:val="details"/>
                <w:rFonts w:ascii="Tahoma" w:hAnsi="Tahoma" w:cs="Tahoma"/>
                <w:sz w:val="20"/>
                <w:szCs w:val="20"/>
                <w:lang w:eastAsia="fi-FI"/>
              </w:rPr>
            </w:pPr>
            <w:r w:rsidRPr="00825B37">
              <w:rPr>
                <w:rStyle w:val="details"/>
                <w:rFonts w:ascii="Tahoma" w:hAnsi="Tahoma" w:cs="Tahoma"/>
                <w:iCs/>
                <w:sz w:val="20"/>
                <w:szCs w:val="20"/>
              </w:rPr>
              <w:t>Ihmisen anatomia, biokemialliset ja fysiologiset toiminnot laboratoriotutkimusten perusteena</w:t>
            </w:r>
          </w:p>
          <w:p w:rsidR="00C26276" w:rsidRPr="00825B37" w:rsidRDefault="00C26276" w:rsidP="00C26276">
            <w:pPr>
              <w:numPr>
                <w:ilvl w:val="0"/>
                <w:numId w:val="8"/>
              </w:numPr>
              <w:spacing w:before="100" w:beforeAutospacing="1" w:after="100" w:afterAutospacing="1"/>
              <w:ind w:left="276" w:hanging="276"/>
              <w:textAlignment w:val="baseline"/>
              <w:rPr>
                <w:rStyle w:val="details"/>
                <w:rFonts w:ascii="Tahoma" w:hAnsi="Tahoma" w:cs="Tahoma"/>
                <w:sz w:val="20"/>
                <w:szCs w:val="20"/>
                <w:lang w:eastAsia="fi-FI"/>
              </w:rPr>
            </w:pPr>
            <w:r w:rsidRPr="00825B37">
              <w:rPr>
                <w:rStyle w:val="details"/>
                <w:rFonts w:ascii="Tahoma" w:hAnsi="Tahoma" w:cs="Tahoma"/>
                <w:iCs/>
                <w:sz w:val="20"/>
                <w:szCs w:val="20"/>
              </w:rPr>
              <w:t>Solu- ja molekyylibiologian ja genetiikan perusteet</w:t>
            </w:r>
          </w:p>
          <w:p w:rsidR="00C26276" w:rsidRPr="00825B37" w:rsidRDefault="00C26276" w:rsidP="00C26276">
            <w:pPr>
              <w:numPr>
                <w:ilvl w:val="0"/>
                <w:numId w:val="8"/>
              </w:numPr>
              <w:spacing w:before="100" w:beforeAutospacing="1" w:after="100" w:afterAutospacing="1"/>
              <w:ind w:left="276" w:hanging="276"/>
              <w:textAlignment w:val="baseline"/>
              <w:rPr>
                <w:rStyle w:val="details"/>
                <w:rFonts w:ascii="Tahoma" w:hAnsi="Tahoma" w:cs="Tahoma"/>
                <w:sz w:val="20"/>
                <w:szCs w:val="20"/>
                <w:lang w:eastAsia="fi-FI"/>
              </w:rPr>
            </w:pPr>
            <w:r w:rsidRPr="00825B37">
              <w:rPr>
                <w:rStyle w:val="details"/>
                <w:rFonts w:ascii="Tahoma" w:hAnsi="Tahoma" w:cs="Tahoma"/>
                <w:iCs/>
                <w:sz w:val="20"/>
                <w:szCs w:val="20"/>
              </w:rPr>
              <w:t>Farmakologia</w:t>
            </w:r>
          </w:p>
          <w:p w:rsidR="00C26276" w:rsidRPr="00825B37" w:rsidRDefault="00C26276" w:rsidP="00C26276">
            <w:pPr>
              <w:numPr>
                <w:ilvl w:val="0"/>
                <w:numId w:val="8"/>
              </w:numPr>
              <w:spacing w:before="100" w:beforeAutospacing="1" w:after="100" w:afterAutospacing="1"/>
              <w:ind w:left="276" w:hanging="276"/>
              <w:textAlignment w:val="baseline"/>
              <w:rPr>
                <w:rStyle w:val="details"/>
                <w:rFonts w:ascii="Tahoma" w:hAnsi="Tahoma" w:cs="Tahoma"/>
                <w:sz w:val="20"/>
                <w:szCs w:val="20"/>
                <w:lang w:eastAsia="fi-FI"/>
              </w:rPr>
            </w:pPr>
            <w:r w:rsidRPr="00825B37">
              <w:rPr>
                <w:rStyle w:val="details"/>
                <w:rFonts w:ascii="Tahoma" w:hAnsi="Tahoma" w:cs="Tahoma"/>
                <w:sz w:val="20"/>
                <w:szCs w:val="20"/>
                <w:lang w:eastAsia="fi-FI"/>
              </w:rPr>
              <w:t>Laboratoriotutkimukset e</w:t>
            </w:r>
            <w:r w:rsidRPr="00825B37">
              <w:rPr>
                <w:rStyle w:val="details"/>
                <w:rFonts w:ascii="Tahoma" w:hAnsi="Tahoma" w:cs="Tahoma"/>
                <w:sz w:val="20"/>
                <w:szCs w:val="20"/>
                <w:lang w:eastAsia="fi-FI"/>
              </w:rPr>
              <w:t>limistön toiminnan tutkimisessa</w:t>
            </w:r>
          </w:p>
          <w:p w:rsidR="00C26276" w:rsidRPr="00825B37" w:rsidRDefault="00C26276" w:rsidP="00C10B89">
            <w:pPr>
              <w:spacing w:before="100" w:beforeAutospacing="1" w:after="100" w:afterAutospacing="1"/>
              <w:ind w:left="276"/>
              <w:textAlignment w:val="baseline"/>
              <w:rPr>
                <w:rFonts w:ascii="Tahoma" w:hAnsi="Tahoma" w:cs="Tahoma"/>
                <w:sz w:val="20"/>
                <w:szCs w:val="20"/>
                <w:lang w:eastAsia="fi-FI"/>
              </w:rPr>
            </w:pPr>
          </w:p>
        </w:tc>
        <w:bookmarkStart w:id="0" w:name="_GoBack"/>
        <w:bookmarkEnd w:id="0"/>
      </w:tr>
      <w:tr w:rsidR="00C26276" w:rsidRPr="00EE08CC" w:rsidTr="006929B5">
        <w:trPr>
          <w:trHeight w:val="268"/>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10B89">
            <w:pPr>
              <w:rPr>
                <w:rFonts w:ascii="Tahoma" w:hAnsi="Tahoma" w:cs="Tahoma"/>
                <w:b/>
                <w:bCs/>
                <w:sz w:val="20"/>
                <w:szCs w:val="20"/>
                <w:lang w:eastAsia="fi-FI"/>
              </w:rPr>
            </w:pPr>
            <w:r w:rsidRPr="00825B37">
              <w:rPr>
                <w:rFonts w:ascii="Tahoma" w:hAnsi="Tahoma" w:cs="Tahoma"/>
                <w:b/>
                <w:bCs/>
                <w:sz w:val="20"/>
                <w:szCs w:val="20"/>
                <w:lang w:eastAsia="fi-FI"/>
              </w:rPr>
              <w:t>Kliininen laboratoriotyö:</w:t>
            </w:r>
          </w:p>
          <w:p w:rsidR="00C26276" w:rsidRPr="00825B37" w:rsidRDefault="00C26276" w:rsidP="00C10B89">
            <w:pPr>
              <w:rPr>
                <w:rFonts w:ascii="Tahoma" w:hAnsi="Tahoma" w:cs="Tahoma"/>
                <w:b/>
                <w:bCs/>
                <w:sz w:val="20"/>
                <w:szCs w:val="20"/>
                <w:lang w:eastAsia="fi-FI"/>
              </w:rPr>
            </w:pPr>
          </w:p>
          <w:p w:rsidR="00C26276" w:rsidRPr="00825B37" w:rsidRDefault="00C26276" w:rsidP="00C10B89">
            <w:pPr>
              <w:rPr>
                <w:rFonts w:ascii="Tahoma" w:hAnsi="Tahoma" w:cs="Tahoma"/>
                <w:sz w:val="20"/>
                <w:szCs w:val="20"/>
                <w:lang w:eastAsia="fi-FI"/>
              </w:rPr>
            </w:pPr>
            <w:r w:rsidRPr="00825B37">
              <w:rPr>
                <w:rFonts w:ascii="Tahoma" w:hAnsi="Tahoma" w:cs="Tahoma"/>
                <w:b/>
                <w:bCs/>
                <w:sz w:val="20"/>
                <w:szCs w:val="20"/>
                <w:lang w:eastAsia="fi-FI"/>
              </w:rPr>
              <w:t>Laboratoriotutkimusprosessiosaaminen</w:t>
            </w:r>
          </w:p>
          <w:p w:rsidR="00C26276" w:rsidRPr="00825B37" w:rsidRDefault="00C26276" w:rsidP="00C10B89">
            <w:pPr>
              <w:rPr>
                <w:rFonts w:ascii="Tahoma" w:hAnsi="Tahoma" w:cs="Tahoma"/>
                <w:sz w:val="20"/>
                <w:szCs w:val="20"/>
                <w:lang w:eastAsia="fi-FI"/>
              </w:rPr>
            </w:pPr>
            <w:r w:rsidRPr="00825B37">
              <w:rPr>
                <w:rFonts w:ascii="Tahoma" w:hAnsi="Tahoma" w:cs="Tahoma"/>
                <w:b/>
                <w:bCs/>
                <w:sz w:val="20"/>
                <w:szCs w:val="20"/>
                <w:lang w:eastAsia="fi-FI"/>
              </w:rPr>
              <w:t xml:space="preserve">koostuu </w:t>
            </w:r>
            <w:proofErr w:type="spellStart"/>
            <w:r w:rsidRPr="00825B37">
              <w:rPr>
                <w:rFonts w:ascii="Tahoma" w:hAnsi="Tahoma" w:cs="Tahoma"/>
                <w:b/>
                <w:bCs/>
                <w:sz w:val="20"/>
                <w:szCs w:val="20"/>
                <w:lang w:eastAsia="fi-FI"/>
              </w:rPr>
              <w:t>preanalyyttisestä</w:t>
            </w:r>
            <w:proofErr w:type="spellEnd"/>
            <w:r w:rsidRPr="00825B37">
              <w:rPr>
                <w:rFonts w:ascii="Tahoma" w:hAnsi="Tahoma" w:cs="Tahoma"/>
                <w:b/>
                <w:bCs/>
                <w:sz w:val="20"/>
                <w:szCs w:val="20"/>
                <w:lang w:eastAsia="fi-FI"/>
              </w:rPr>
              <w:t xml:space="preserve">, analyyttisestä ja postanalyyttisestä osaamisesta </w:t>
            </w:r>
          </w:p>
          <w:p w:rsidR="00C26276" w:rsidRPr="00825B37" w:rsidRDefault="00C26276" w:rsidP="00C10B89">
            <w:pPr>
              <w:rPr>
                <w:rFonts w:ascii="Tahoma" w:hAnsi="Tahoma" w:cs="Tahoma"/>
                <w:sz w:val="20"/>
                <w:szCs w:val="20"/>
                <w:lang w:eastAsia="fi-FI"/>
              </w:rPr>
            </w:pPr>
            <w:r w:rsidRPr="00825B37">
              <w:rPr>
                <w:rFonts w:ascii="Tahoma" w:hAnsi="Tahoma" w:cs="Tahoma"/>
                <w:b/>
                <w:bCs/>
                <w:sz w:val="20"/>
                <w:szCs w:val="20"/>
                <w:lang w:eastAsia="fi-FI"/>
              </w:rPr>
              <w:t xml:space="preserve">Laboratoriotutkimusprosessin </w:t>
            </w:r>
            <w:proofErr w:type="spellStart"/>
            <w:r w:rsidRPr="00825B37">
              <w:rPr>
                <w:rFonts w:ascii="Tahoma" w:hAnsi="Tahoma" w:cs="Tahoma"/>
                <w:b/>
                <w:bCs/>
                <w:sz w:val="20"/>
                <w:szCs w:val="20"/>
                <w:lang w:eastAsia="fi-FI"/>
              </w:rPr>
              <w:t>preanalyyttinen</w:t>
            </w:r>
            <w:proofErr w:type="spellEnd"/>
            <w:r w:rsidRPr="00825B37">
              <w:rPr>
                <w:rFonts w:ascii="Tahoma" w:hAnsi="Tahoma" w:cs="Tahoma"/>
                <w:b/>
                <w:bCs/>
                <w:sz w:val="20"/>
                <w:szCs w:val="20"/>
                <w:lang w:eastAsia="fi-FI"/>
              </w:rPr>
              <w:t xml:space="preserve"> vaihe</w:t>
            </w:r>
          </w:p>
          <w:p w:rsidR="00C26276" w:rsidRPr="00825B37" w:rsidRDefault="00C26276" w:rsidP="00C10B89">
            <w:pPr>
              <w:rPr>
                <w:rFonts w:ascii="Tahoma" w:hAnsi="Tahoma" w:cs="Tahoma"/>
                <w:sz w:val="20"/>
                <w:szCs w:val="20"/>
                <w:lang w:eastAsia="fi-FI"/>
              </w:rPr>
            </w:pP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26276">
            <w:pPr>
              <w:numPr>
                <w:ilvl w:val="0"/>
                <w:numId w:val="9"/>
              </w:numPr>
              <w:textAlignment w:val="baseline"/>
              <w:rPr>
                <w:rFonts w:ascii="Tahoma" w:hAnsi="Tahoma" w:cs="Tahoma"/>
                <w:sz w:val="20"/>
                <w:szCs w:val="20"/>
                <w:lang w:eastAsia="fi-FI"/>
              </w:rPr>
            </w:pPr>
            <w:r w:rsidRPr="00825B37">
              <w:rPr>
                <w:rFonts w:ascii="Tahoma" w:hAnsi="Tahoma" w:cs="Tahoma"/>
                <w:sz w:val="20"/>
                <w:szCs w:val="20"/>
                <w:lang w:eastAsia="fi-FI"/>
              </w:rPr>
              <w:t xml:space="preserve">käyttää laboratoriotutkimusnimikkeistöä asiantuntevasti ja selittää laboratoriotutkimusten käyttötarkoituksen </w:t>
            </w:r>
          </w:p>
          <w:p w:rsidR="00C26276" w:rsidRPr="00825B37" w:rsidRDefault="00C26276" w:rsidP="00C26276">
            <w:pPr>
              <w:numPr>
                <w:ilvl w:val="0"/>
                <w:numId w:val="9"/>
              </w:numPr>
              <w:textAlignment w:val="baseline"/>
              <w:rPr>
                <w:rFonts w:ascii="Tahoma" w:hAnsi="Tahoma" w:cs="Tahoma"/>
                <w:sz w:val="20"/>
                <w:szCs w:val="20"/>
                <w:lang w:eastAsia="fi-FI"/>
              </w:rPr>
            </w:pPr>
            <w:r w:rsidRPr="00825B37">
              <w:rPr>
                <w:rFonts w:ascii="Tahoma" w:hAnsi="Tahoma" w:cs="Tahoma"/>
                <w:sz w:val="20"/>
                <w:szCs w:val="20"/>
                <w:lang w:eastAsia="fi-FI"/>
              </w:rPr>
              <w:t xml:space="preserve">perustelee tutkimusten </w:t>
            </w:r>
            <w:proofErr w:type="spellStart"/>
            <w:r w:rsidRPr="00825B37">
              <w:rPr>
                <w:rFonts w:ascii="Tahoma" w:hAnsi="Tahoma" w:cs="Tahoma"/>
                <w:sz w:val="20"/>
                <w:szCs w:val="20"/>
                <w:lang w:eastAsia="fi-FI"/>
              </w:rPr>
              <w:t>preanalyyttisen</w:t>
            </w:r>
            <w:proofErr w:type="spellEnd"/>
            <w:r w:rsidRPr="00825B37">
              <w:rPr>
                <w:rFonts w:ascii="Tahoma" w:hAnsi="Tahoma" w:cs="Tahoma"/>
                <w:sz w:val="20"/>
                <w:szCs w:val="20"/>
                <w:lang w:eastAsia="fi-FI"/>
              </w:rPr>
              <w:t xml:space="preserve"> vaiheen vaatimukset sekä niiden kiireellisyyden</w:t>
            </w:r>
          </w:p>
          <w:p w:rsidR="00C26276" w:rsidRPr="00825B37" w:rsidRDefault="00C26276" w:rsidP="00C26276">
            <w:pPr>
              <w:numPr>
                <w:ilvl w:val="0"/>
                <w:numId w:val="9"/>
              </w:numPr>
              <w:textAlignment w:val="baseline"/>
              <w:rPr>
                <w:rFonts w:ascii="Tahoma" w:hAnsi="Tahoma" w:cs="Tahoma"/>
                <w:sz w:val="20"/>
                <w:szCs w:val="20"/>
                <w:lang w:eastAsia="fi-FI"/>
              </w:rPr>
            </w:pPr>
            <w:r w:rsidRPr="00825B37">
              <w:rPr>
                <w:rFonts w:ascii="Tahoma" w:hAnsi="Tahoma" w:cs="Tahoma"/>
                <w:sz w:val="20"/>
                <w:szCs w:val="20"/>
                <w:lang w:eastAsia="fi-FI"/>
              </w:rPr>
              <w:t xml:space="preserve">suunnittelee perustellen asiakaslähtöisen näytteenoton ohjauksen ja neuvonnan </w:t>
            </w:r>
          </w:p>
          <w:p w:rsidR="00C26276" w:rsidRPr="00825B37" w:rsidRDefault="00C26276" w:rsidP="00C26276">
            <w:pPr>
              <w:numPr>
                <w:ilvl w:val="0"/>
                <w:numId w:val="9"/>
              </w:numPr>
              <w:textAlignment w:val="baseline"/>
              <w:rPr>
                <w:rFonts w:ascii="Tahoma" w:hAnsi="Tahoma" w:cs="Tahoma"/>
                <w:sz w:val="20"/>
                <w:szCs w:val="20"/>
                <w:lang w:eastAsia="fi-FI"/>
              </w:rPr>
            </w:pPr>
            <w:r w:rsidRPr="00825B37">
              <w:rPr>
                <w:rFonts w:ascii="Tahoma" w:hAnsi="Tahoma" w:cs="Tahoma"/>
                <w:sz w:val="20"/>
                <w:szCs w:val="20"/>
                <w:lang w:eastAsia="fi-FI"/>
              </w:rPr>
              <w:t xml:space="preserve">suunnittelee ja toteuttaa laatujärjestelmän mukaisesti näytteenoton, näytteiden käsittelyn ja säilytyksen kuljetuksen </w:t>
            </w:r>
          </w:p>
          <w:p w:rsidR="00C26276" w:rsidRPr="00825B37" w:rsidRDefault="00C26276" w:rsidP="00C26276">
            <w:pPr>
              <w:numPr>
                <w:ilvl w:val="0"/>
                <w:numId w:val="9"/>
              </w:numPr>
              <w:textAlignment w:val="baseline"/>
              <w:rPr>
                <w:rFonts w:ascii="Tahoma" w:hAnsi="Tahoma" w:cs="Tahoma"/>
                <w:sz w:val="20"/>
                <w:szCs w:val="20"/>
                <w:lang w:eastAsia="fi-FI"/>
              </w:rPr>
            </w:pPr>
            <w:r w:rsidRPr="00825B37">
              <w:rPr>
                <w:rFonts w:ascii="Tahoma" w:hAnsi="Tahoma" w:cs="Tahoma"/>
                <w:sz w:val="20"/>
                <w:szCs w:val="20"/>
                <w:lang w:eastAsia="fi-FI"/>
              </w:rPr>
              <w:t>huolehtii asiantuntevasti potilaan turvallisuudesta ja hyvinvoinnista näytteenotossa ja potilastutkimuksissa</w:t>
            </w:r>
          </w:p>
          <w:p w:rsidR="00C26276" w:rsidRPr="00825B37" w:rsidRDefault="00C26276" w:rsidP="00C26276">
            <w:pPr>
              <w:numPr>
                <w:ilvl w:val="0"/>
                <w:numId w:val="9"/>
              </w:numPr>
              <w:textAlignment w:val="baseline"/>
              <w:rPr>
                <w:rFonts w:ascii="Tahoma" w:hAnsi="Tahoma" w:cs="Tahoma"/>
                <w:sz w:val="20"/>
                <w:szCs w:val="20"/>
                <w:lang w:eastAsia="fi-FI"/>
              </w:rPr>
            </w:pPr>
            <w:r w:rsidRPr="00825B37">
              <w:rPr>
                <w:rFonts w:ascii="Tahoma" w:hAnsi="Tahoma" w:cs="Tahoma"/>
                <w:sz w:val="20"/>
                <w:szCs w:val="20"/>
                <w:lang w:eastAsia="fi-FI"/>
              </w:rPr>
              <w:t>perustelee toimintaansa ja toimii potilaan yksityisyyttä ja oikeuksia säätelevän lainsäädännön keskeisen sisällön mukaisesti</w:t>
            </w:r>
          </w:p>
          <w:p w:rsidR="00C26276" w:rsidRPr="00825B37" w:rsidRDefault="00C26276" w:rsidP="00C26276">
            <w:pPr>
              <w:numPr>
                <w:ilvl w:val="0"/>
                <w:numId w:val="9"/>
              </w:numPr>
              <w:textAlignment w:val="baseline"/>
              <w:rPr>
                <w:rFonts w:ascii="Tahoma" w:hAnsi="Tahoma" w:cs="Tahoma"/>
                <w:sz w:val="20"/>
                <w:szCs w:val="20"/>
                <w:lang w:eastAsia="fi-FI"/>
              </w:rPr>
            </w:pPr>
            <w:r w:rsidRPr="00825B37">
              <w:rPr>
                <w:rFonts w:ascii="Tahoma" w:hAnsi="Tahoma" w:cs="Tahoma"/>
                <w:sz w:val="20"/>
                <w:szCs w:val="20"/>
                <w:lang w:eastAsia="fi-FI"/>
              </w:rPr>
              <w:t xml:space="preserve">toimii asiantuntevasti kansainvälisten ja kansallisten </w:t>
            </w:r>
            <w:proofErr w:type="spellStart"/>
            <w:r w:rsidRPr="00825B37">
              <w:rPr>
                <w:rFonts w:ascii="Tahoma" w:hAnsi="Tahoma" w:cs="Tahoma"/>
                <w:sz w:val="20"/>
                <w:szCs w:val="20"/>
                <w:lang w:eastAsia="fi-FI"/>
              </w:rPr>
              <w:t>preanalyyttistä</w:t>
            </w:r>
            <w:proofErr w:type="spellEnd"/>
            <w:r w:rsidRPr="00825B37">
              <w:rPr>
                <w:rFonts w:ascii="Tahoma" w:hAnsi="Tahoma" w:cs="Tahoma"/>
                <w:sz w:val="20"/>
                <w:szCs w:val="20"/>
                <w:lang w:eastAsia="fi-FI"/>
              </w:rPr>
              <w:t xml:space="preserve"> toimintaa ohjaavien suosituksien perusteella potilas- ja näytetutkimuksissa </w:t>
            </w:r>
          </w:p>
          <w:p w:rsidR="00C26276" w:rsidRPr="00825B37" w:rsidRDefault="00C26276" w:rsidP="00C26276">
            <w:pPr>
              <w:numPr>
                <w:ilvl w:val="0"/>
                <w:numId w:val="9"/>
              </w:numPr>
              <w:textAlignment w:val="baseline"/>
              <w:rPr>
                <w:rFonts w:ascii="Tahoma" w:hAnsi="Tahoma" w:cs="Tahoma"/>
                <w:sz w:val="20"/>
                <w:szCs w:val="20"/>
                <w:lang w:eastAsia="fi-FI"/>
              </w:rPr>
            </w:pPr>
            <w:r w:rsidRPr="00825B37">
              <w:rPr>
                <w:rFonts w:ascii="Tahoma" w:hAnsi="Tahoma" w:cs="Tahoma"/>
                <w:sz w:val="20"/>
                <w:szCs w:val="20"/>
                <w:lang w:eastAsia="fi-FI"/>
              </w:rPr>
              <w:t xml:space="preserve">organisoi ja kehittää näytteenottotoimintaa näyttöön perustuvasti yhteistyössä muun henkilöstön kanssa. </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 xml:space="preserve">Potilas- ja näytetutkimusten </w:t>
            </w:r>
            <w:proofErr w:type="spellStart"/>
            <w:r w:rsidRPr="00825B37">
              <w:rPr>
                <w:rFonts w:ascii="Tahoma" w:hAnsi="Tahoma" w:cs="Tahoma"/>
                <w:bCs/>
                <w:sz w:val="20"/>
                <w:szCs w:val="20"/>
                <w:lang w:eastAsia="fi-FI"/>
              </w:rPr>
              <w:t>preanalyyttiset</w:t>
            </w:r>
            <w:proofErr w:type="spellEnd"/>
            <w:r w:rsidRPr="00825B37">
              <w:rPr>
                <w:rFonts w:ascii="Tahoma" w:hAnsi="Tahoma" w:cs="Tahoma"/>
                <w:bCs/>
                <w:sz w:val="20"/>
                <w:szCs w:val="20"/>
                <w:lang w:eastAsia="fi-FI"/>
              </w:rPr>
              <w:t xml:space="preserve"> standardit, suositukset ja ohjeet </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proofErr w:type="gramStart"/>
            <w:r w:rsidRPr="00825B37">
              <w:rPr>
                <w:rFonts w:ascii="Tahoma" w:hAnsi="Tahoma" w:cs="Tahoma"/>
                <w:bCs/>
                <w:sz w:val="20"/>
                <w:szCs w:val="20"/>
                <w:lang w:eastAsia="fi-FI"/>
              </w:rPr>
              <w:t>Hyvät ja vakioidut kansalliset ja kansainväliset näytteenottokäytännöt</w:t>
            </w:r>
            <w:proofErr w:type="gramEnd"/>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 xml:space="preserve">Asiakkaan ja käyttäjän ohjaus ja neuvonta laboratoriotutkimuksiin </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Näytteenoton potilas- ja työturvallisuus</w:t>
            </w:r>
          </w:p>
          <w:p w:rsidR="00C26276" w:rsidRPr="00825B37" w:rsidRDefault="00C26276" w:rsidP="00C10B89">
            <w:pPr>
              <w:spacing w:before="100" w:beforeAutospacing="1" w:after="100" w:afterAutospacing="1"/>
              <w:ind w:left="276"/>
              <w:textAlignment w:val="baseline"/>
              <w:rPr>
                <w:rFonts w:ascii="Tahoma" w:hAnsi="Tahoma" w:cs="Tahoma"/>
                <w:bCs/>
                <w:sz w:val="20"/>
                <w:szCs w:val="20"/>
                <w:lang w:eastAsia="fi-FI"/>
              </w:rPr>
            </w:pPr>
          </w:p>
        </w:tc>
      </w:tr>
      <w:tr w:rsidR="00C26276" w:rsidRPr="00EE08CC" w:rsidTr="006929B5">
        <w:trPr>
          <w:trHeight w:val="3532"/>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10B89">
            <w:pPr>
              <w:rPr>
                <w:rFonts w:ascii="Tahoma" w:hAnsi="Tahoma" w:cs="Tahoma"/>
                <w:b/>
                <w:bCs/>
                <w:sz w:val="20"/>
                <w:szCs w:val="20"/>
                <w:lang w:eastAsia="fi-FI"/>
              </w:rPr>
            </w:pPr>
            <w:r w:rsidRPr="00825B37">
              <w:rPr>
                <w:rFonts w:ascii="Tahoma" w:hAnsi="Tahoma" w:cs="Tahoma"/>
                <w:b/>
                <w:bCs/>
                <w:sz w:val="20"/>
                <w:szCs w:val="20"/>
                <w:lang w:eastAsia="fi-FI"/>
              </w:rPr>
              <w:lastRenderedPageBreak/>
              <w:t>Laboratoriotutkimus-</w:t>
            </w:r>
          </w:p>
          <w:p w:rsidR="00C26276" w:rsidRPr="00825B37" w:rsidRDefault="00C26276" w:rsidP="00C10B89">
            <w:pPr>
              <w:rPr>
                <w:rFonts w:ascii="Tahoma" w:hAnsi="Tahoma" w:cs="Tahoma"/>
                <w:sz w:val="20"/>
                <w:szCs w:val="20"/>
                <w:lang w:eastAsia="fi-FI"/>
              </w:rPr>
            </w:pPr>
            <w:r w:rsidRPr="00825B37">
              <w:rPr>
                <w:rFonts w:ascii="Tahoma" w:hAnsi="Tahoma" w:cs="Tahoma"/>
                <w:b/>
                <w:bCs/>
                <w:sz w:val="20"/>
                <w:szCs w:val="20"/>
                <w:lang w:eastAsia="fi-FI"/>
              </w:rPr>
              <w:t>prosessin analyyttinen osaaminen</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26276">
            <w:pPr>
              <w:numPr>
                <w:ilvl w:val="0"/>
                <w:numId w:val="10"/>
              </w:numPr>
              <w:textAlignment w:val="baseline"/>
              <w:rPr>
                <w:rFonts w:ascii="Tahoma" w:hAnsi="Tahoma" w:cs="Tahoma"/>
                <w:sz w:val="20"/>
                <w:szCs w:val="20"/>
                <w:lang w:eastAsia="fi-FI"/>
              </w:rPr>
            </w:pPr>
            <w:r w:rsidRPr="00825B37">
              <w:rPr>
                <w:rFonts w:ascii="Tahoma" w:hAnsi="Tahoma" w:cs="Tahoma"/>
                <w:sz w:val="20"/>
                <w:szCs w:val="20"/>
                <w:lang w:eastAsia="fi-FI"/>
              </w:rPr>
              <w:t xml:space="preserve">tekee kliinisen fysiologian ja isotooppilääketieteen sekä kliinisen neurofysiologian potilastutkimuksia </w:t>
            </w:r>
            <w:r w:rsidRPr="00825B37">
              <w:rPr>
                <w:rFonts w:ascii="Tahoma" w:hAnsi="Tahoma" w:cs="Tahoma"/>
                <w:bCs/>
                <w:sz w:val="20"/>
                <w:szCs w:val="20"/>
              </w:rPr>
              <w:t>laatuvaatimusten ja suositusten mukaisesti.</w:t>
            </w:r>
            <w:r w:rsidRPr="00825B37">
              <w:rPr>
                <w:rFonts w:ascii="Tahoma" w:hAnsi="Tahoma" w:cs="Tahoma"/>
                <w:sz w:val="20"/>
                <w:szCs w:val="20"/>
                <w:lang w:eastAsia="fi-FI"/>
              </w:rPr>
              <w:t xml:space="preserve"> Analysoi kliinisen hematologian, </w:t>
            </w:r>
            <w:proofErr w:type="spellStart"/>
            <w:r w:rsidRPr="00825B37">
              <w:rPr>
                <w:rFonts w:ascii="Tahoma" w:hAnsi="Tahoma" w:cs="Tahoma"/>
                <w:sz w:val="20"/>
                <w:szCs w:val="20"/>
                <w:lang w:eastAsia="fi-FI"/>
              </w:rPr>
              <w:t>immunohematologian</w:t>
            </w:r>
            <w:proofErr w:type="spellEnd"/>
            <w:r w:rsidRPr="00825B37">
              <w:rPr>
                <w:rFonts w:ascii="Tahoma" w:hAnsi="Tahoma" w:cs="Tahoma"/>
                <w:sz w:val="20"/>
                <w:szCs w:val="20"/>
                <w:lang w:eastAsia="fi-FI"/>
              </w:rPr>
              <w:t>, kliinisen histologian ja sytologian, kliinisen immunologian, kliinisen biokemian, kliinisen mikrobiologian, perinnöllisyyslääketieteen näytteitä laatuvaatimusten ja suositusten mukaisesti.</w:t>
            </w:r>
          </w:p>
          <w:p w:rsidR="00C26276" w:rsidRPr="00825B37" w:rsidRDefault="00C26276" w:rsidP="00C26276">
            <w:pPr>
              <w:numPr>
                <w:ilvl w:val="0"/>
                <w:numId w:val="10"/>
              </w:numPr>
              <w:textAlignment w:val="baseline"/>
              <w:rPr>
                <w:rFonts w:ascii="Tahoma" w:hAnsi="Tahoma" w:cs="Tahoma"/>
                <w:sz w:val="20"/>
                <w:szCs w:val="20"/>
                <w:lang w:eastAsia="fi-FI"/>
              </w:rPr>
            </w:pPr>
            <w:r w:rsidRPr="00825B37">
              <w:rPr>
                <w:rFonts w:ascii="Tahoma" w:hAnsi="Tahoma" w:cs="Tahoma"/>
                <w:sz w:val="20"/>
                <w:szCs w:val="20"/>
                <w:lang w:eastAsia="fi-FI"/>
              </w:rPr>
              <w:t>osaa soveltaa laboratoriotutkimusten menetelmällisiä periaatteita</w:t>
            </w:r>
          </w:p>
          <w:p w:rsidR="00C26276" w:rsidRPr="00825B37" w:rsidRDefault="00C26276" w:rsidP="00C26276">
            <w:pPr>
              <w:numPr>
                <w:ilvl w:val="0"/>
                <w:numId w:val="11"/>
              </w:numPr>
              <w:textAlignment w:val="baseline"/>
              <w:rPr>
                <w:rFonts w:ascii="Tahoma" w:hAnsi="Tahoma" w:cs="Tahoma"/>
                <w:sz w:val="20"/>
                <w:szCs w:val="20"/>
                <w:lang w:eastAsia="fi-FI"/>
              </w:rPr>
            </w:pPr>
            <w:r w:rsidRPr="00825B37">
              <w:rPr>
                <w:rFonts w:ascii="Tahoma" w:hAnsi="Tahoma" w:cs="Tahoma"/>
                <w:sz w:val="20"/>
                <w:szCs w:val="20"/>
                <w:lang w:eastAsia="fi-FI"/>
              </w:rPr>
              <w:t>toteuttaa sisäistä laadunohjausta ja ulkoisen laadunvarmistuksen ohjelmia, selittää ja perustelee niiden menetelmiä ja tulkintaa sekä sitoutuu toimimaan niiden edellyttämällä tavalla</w:t>
            </w:r>
          </w:p>
          <w:p w:rsidR="00C26276" w:rsidRPr="00825B37" w:rsidRDefault="00C26276" w:rsidP="00C26276">
            <w:pPr>
              <w:numPr>
                <w:ilvl w:val="0"/>
                <w:numId w:val="11"/>
              </w:numPr>
              <w:textAlignment w:val="baseline"/>
              <w:rPr>
                <w:rFonts w:ascii="Tahoma" w:hAnsi="Tahoma" w:cs="Tahoma"/>
                <w:sz w:val="20"/>
                <w:szCs w:val="20"/>
                <w:lang w:eastAsia="fi-FI"/>
              </w:rPr>
            </w:pPr>
            <w:r w:rsidRPr="00825B37">
              <w:rPr>
                <w:rFonts w:ascii="Tahoma" w:hAnsi="Tahoma" w:cs="Tahoma"/>
                <w:sz w:val="20"/>
                <w:szCs w:val="20"/>
                <w:lang w:eastAsia="fi-FI"/>
              </w:rPr>
              <w:t xml:space="preserve">arvioi ja kehittää analyysiprosessin toimivuutta </w:t>
            </w:r>
          </w:p>
          <w:p w:rsidR="00C26276" w:rsidRPr="00825B37" w:rsidRDefault="00C26276" w:rsidP="00C26276">
            <w:pPr>
              <w:numPr>
                <w:ilvl w:val="0"/>
                <w:numId w:val="11"/>
              </w:numPr>
              <w:textAlignment w:val="baseline"/>
              <w:rPr>
                <w:rFonts w:ascii="Tahoma" w:hAnsi="Tahoma" w:cs="Tahoma"/>
                <w:sz w:val="20"/>
                <w:szCs w:val="20"/>
                <w:lang w:eastAsia="fi-FI"/>
              </w:rPr>
            </w:pPr>
            <w:r w:rsidRPr="00825B37">
              <w:rPr>
                <w:rFonts w:ascii="Tahoma" w:hAnsi="Tahoma" w:cs="Tahoma"/>
                <w:sz w:val="20"/>
                <w:szCs w:val="20"/>
                <w:lang w:eastAsia="fi-FI"/>
              </w:rPr>
              <w:t xml:space="preserve">toimii asiantuntijuutensa puitteissa uusien menetelmien kehittämisessä, laitehankinnoissa sekä uusien laitteiden ja menetelmien validoinnissa </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26276">
            <w:pPr>
              <w:numPr>
                <w:ilvl w:val="0"/>
                <w:numId w:val="8"/>
              </w:numPr>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 xml:space="preserve">Kliinisen laboratoriotyön menetelmät ja analysointiprosessi </w:t>
            </w:r>
          </w:p>
          <w:p w:rsidR="00C26276" w:rsidRPr="00825B37" w:rsidRDefault="00C26276" w:rsidP="00C10B89">
            <w:pPr>
              <w:spacing w:before="100" w:beforeAutospacing="1" w:after="100" w:afterAutospacing="1"/>
              <w:ind w:left="276"/>
              <w:textAlignment w:val="baseline"/>
              <w:rPr>
                <w:rFonts w:ascii="Tahoma" w:hAnsi="Tahoma" w:cs="Tahoma"/>
                <w:bCs/>
                <w:sz w:val="20"/>
                <w:szCs w:val="20"/>
                <w:lang w:eastAsia="fi-FI"/>
              </w:rPr>
            </w:pPr>
            <w:proofErr w:type="gramStart"/>
            <w:r w:rsidRPr="00825B37">
              <w:rPr>
                <w:rFonts w:ascii="Tahoma" w:hAnsi="Tahoma" w:cs="Tahoma"/>
                <w:bCs/>
                <w:sz w:val="20"/>
                <w:szCs w:val="20"/>
                <w:lang w:eastAsia="fi-FI"/>
              </w:rPr>
              <w:t>-</w:t>
            </w:r>
            <w:proofErr w:type="gramEnd"/>
            <w:r w:rsidRPr="00825B37">
              <w:rPr>
                <w:rFonts w:ascii="Tahoma" w:hAnsi="Tahoma" w:cs="Tahoma"/>
                <w:bCs/>
                <w:sz w:val="20"/>
                <w:szCs w:val="20"/>
                <w:lang w:eastAsia="fi-FI"/>
              </w:rPr>
              <w:t xml:space="preserve">kliininen ja isotooppilääketiede, kliininen     </w:t>
            </w:r>
            <w:proofErr w:type="spellStart"/>
            <w:r w:rsidRPr="00825B37">
              <w:rPr>
                <w:rFonts w:ascii="Tahoma" w:hAnsi="Tahoma" w:cs="Tahoma"/>
                <w:bCs/>
                <w:sz w:val="20"/>
                <w:szCs w:val="20"/>
                <w:lang w:eastAsia="fi-FI"/>
              </w:rPr>
              <w:t>neurofysiogia</w:t>
            </w:r>
            <w:proofErr w:type="spellEnd"/>
            <w:r w:rsidRPr="00825B37">
              <w:rPr>
                <w:rFonts w:ascii="Tahoma" w:hAnsi="Tahoma" w:cs="Tahoma"/>
                <w:bCs/>
                <w:sz w:val="20"/>
                <w:szCs w:val="20"/>
                <w:lang w:eastAsia="fi-FI"/>
              </w:rPr>
              <w:t xml:space="preserve">, kliininen hematologia, </w:t>
            </w:r>
            <w:proofErr w:type="spellStart"/>
            <w:r w:rsidRPr="00825B37">
              <w:rPr>
                <w:rFonts w:ascii="Tahoma" w:hAnsi="Tahoma" w:cs="Tahoma"/>
                <w:bCs/>
                <w:sz w:val="20"/>
                <w:szCs w:val="20"/>
                <w:lang w:eastAsia="fi-FI"/>
              </w:rPr>
              <w:t>immunohematologia</w:t>
            </w:r>
            <w:proofErr w:type="spellEnd"/>
            <w:r w:rsidRPr="00825B37">
              <w:rPr>
                <w:rFonts w:ascii="Tahoma" w:hAnsi="Tahoma" w:cs="Tahoma"/>
                <w:bCs/>
                <w:sz w:val="20"/>
                <w:szCs w:val="20"/>
                <w:lang w:eastAsia="fi-FI"/>
              </w:rPr>
              <w:t>, kliininen immunologia, kliininen biokemia, kliininen histologia ja sytologia, kliininen mikrobiologia</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Sisäinen laadunohjaus ja ulkoinen laadunvarmistus kliinisessä laboratoriotyössä</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Laitteiden ja menetelmien validointi</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Laite- ja välinehankintaprosessi</w:t>
            </w:r>
          </w:p>
        </w:tc>
      </w:tr>
      <w:tr w:rsidR="00C26276" w:rsidRPr="00EE08CC" w:rsidTr="006929B5">
        <w:trPr>
          <w:trHeight w:val="2254"/>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10B89">
            <w:pPr>
              <w:rPr>
                <w:rFonts w:ascii="Tahoma" w:hAnsi="Tahoma" w:cs="Tahoma"/>
                <w:sz w:val="20"/>
                <w:szCs w:val="20"/>
                <w:lang w:eastAsia="fi-FI"/>
              </w:rPr>
            </w:pPr>
            <w:r w:rsidRPr="00825B37">
              <w:rPr>
                <w:rFonts w:ascii="Tahoma" w:hAnsi="Tahoma" w:cs="Tahoma"/>
                <w:b/>
                <w:bCs/>
                <w:sz w:val="20"/>
                <w:szCs w:val="20"/>
                <w:lang w:eastAsia="fi-FI"/>
              </w:rPr>
              <w:t>Laboratoriotutkimusprosessin postanalyyttinen vaihe</w:t>
            </w:r>
          </w:p>
          <w:p w:rsidR="00C26276" w:rsidRPr="00825B37" w:rsidRDefault="00C26276" w:rsidP="00C10B89">
            <w:pPr>
              <w:rPr>
                <w:rFonts w:ascii="Tahoma" w:hAnsi="Tahoma" w:cs="Tahoma"/>
                <w:sz w:val="20"/>
                <w:szCs w:val="20"/>
                <w:lang w:eastAsia="fi-FI"/>
              </w:rPr>
            </w:pP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26276">
            <w:pPr>
              <w:numPr>
                <w:ilvl w:val="0"/>
                <w:numId w:val="12"/>
              </w:numPr>
              <w:ind w:right="100"/>
              <w:textAlignment w:val="baseline"/>
              <w:rPr>
                <w:rFonts w:ascii="Tahoma" w:hAnsi="Tahoma" w:cs="Tahoma"/>
                <w:sz w:val="20"/>
                <w:szCs w:val="20"/>
                <w:lang w:eastAsia="fi-FI"/>
              </w:rPr>
            </w:pPr>
            <w:r w:rsidRPr="00825B37">
              <w:rPr>
                <w:rFonts w:ascii="Tahoma" w:hAnsi="Tahoma" w:cs="Tahoma"/>
                <w:sz w:val="20"/>
                <w:szCs w:val="20"/>
                <w:lang w:eastAsia="fi-FI"/>
              </w:rPr>
              <w:t>arvioi laboratoriotutkimustulosten kiireellisyyden sekä niistä tiedottamisen merkityksen potilaan hoidossa ja toimii niiden edellyttämällä tavalla</w:t>
            </w:r>
          </w:p>
          <w:p w:rsidR="00C26276" w:rsidRPr="00825B37" w:rsidRDefault="00C26276" w:rsidP="00C26276">
            <w:pPr>
              <w:numPr>
                <w:ilvl w:val="0"/>
                <w:numId w:val="12"/>
              </w:numPr>
              <w:textAlignment w:val="baseline"/>
              <w:rPr>
                <w:rFonts w:ascii="Tahoma" w:hAnsi="Tahoma" w:cs="Tahoma"/>
                <w:sz w:val="20"/>
                <w:szCs w:val="20"/>
                <w:lang w:eastAsia="fi-FI"/>
              </w:rPr>
            </w:pPr>
            <w:r w:rsidRPr="00825B37">
              <w:rPr>
                <w:rFonts w:ascii="Tahoma" w:hAnsi="Tahoma" w:cs="Tahoma"/>
                <w:sz w:val="20"/>
                <w:szCs w:val="20"/>
                <w:lang w:eastAsia="fi-FI"/>
              </w:rPr>
              <w:t>arvioi laboratoriotulosten ja -tutkimusprosessin luotettavuutta suhteessa laboratorion laatujärjestelmään ja potilaan tilaan</w:t>
            </w:r>
          </w:p>
          <w:p w:rsidR="00C26276" w:rsidRPr="00825B37" w:rsidRDefault="00C26276" w:rsidP="00C26276">
            <w:pPr>
              <w:numPr>
                <w:ilvl w:val="0"/>
                <w:numId w:val="12"/>
              </w:numPr>
              <w:textAlignment w:val="baseline"/>
              <w:rPr>
                <w:rFonts w:ascii="Tahoma" w:hAnsi="Tahoma" w:cs="Tahoma"/>
                <w:sz w:val="20"/>
                <w:szCs w:val="20"/>
                <w:lang w:eastAsia="fi-FI"/>
              </w:rPr>
            </w:pPr>
            <w:r w:rsidRPr="00825B37">
              <w:rPr>
                <w:rFonts w:ascii="Tahoma" w:hAnsi="Tahoma" w:cs="Tahoma"/>
                <w:sz w:val="20"/>
                <w:szCs w:val="20"/>
                <w:lang w:eastAsia="fi-FI"/>
              </w:rPr>
              <w:t>arvioi postanalyyttisen vaiheen päätöksentekoon liittyviä tekijöitä ja kehittää päätöksentekotaitojaan</w:t>
            </w:r>
          </w:p>
          <w:p w:rsidR="00C26276" w:rsidRPr="00825B37" w:rsidRDefault="00C26276" w:rsidP="00C26276">
            <w:pPr>
              <w:numPr>
                <w:ilvl w:val="0"/>
                <w:numId w:val="12"/>
              </w:numPr>
              <w:textAlignment w:val="baseline"/>
              <w:rPr>
                <w:rFonts w:ascii="Tahoma" w:hAnsi="Tahoma" w:cs="Tahoma"/>
                <w:sz w:val="20"/>
                <w:szCs w:val="20"/>
                <w:lang w:eastAsia="fi-FI"/>
              </w:rPr>
            </w:pPr>
            <w:r w:rsidRPr="00825B37">
              <w:rPr>
                <w:rFonts w:ascii="Tahoma" w:hAnsi="Tahoma" w:cs="Tahoma"/>
                <w:sz w:val="20"/>
                <w:szCs w:val="20"/>
                <w:lang w:eastAsia="fi-FI"/>
              </w:rPr>
              <w:t>raportoi laboratoriotutkimustulokset omassa yksikössään sekä hoitoyksiköille tietojärjestelmiä käyttäen</w:t>
            </w:r>
          </w:p>
          <w:p w:rsidR="00C26276" w:rsidRPr="00825B37" w:rsidRDefault="00C26276" w:rsidP="00C26276">
            <w:pPr>
              <w:numPr>
                <w:ilvl w:val="0"/>
                <w:numId w:val="12"/>
              </w:numPr>
              <w:textAlignment w:val="baseline"/>
              <w:rPr>
                <w:rFonts w:ascii="Tahoma" w:hAnsi="Tahoma" w:cs="Tahoma"/>
                <w:sz w:val="20"/>
                <w:szCs w:val="20"/>
                <w:lang w:eastAsia="fi-FI"/>
              </w:rPr>
            </w:pPr>
            <w:r w:rsidRPr="00825B37">
              <w:rPr>
                <w:rFonts w:ascii="Tahoma" w:hAnsi="Tahoma" w:cs="Tahoma"/>
                <w:sz w:val="20"/>
                <w:szCs w:val="20"/>
                <w:lang w:eastAsia="fi-FI"/>
              </w:rPr>
              <w:t>huolehtii asiantuntevasti potilaan hyvinvoinnista ja turvallisuudesta potilastutkimusten aikana ja niiden jälkeen.</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Laboratoriotutkimusprosessin ja tulosten luotettavuuden arviointi</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Viite- ja päätöksentekorajat</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Laboratoriotietojärjestelmät ja tulosten toimittaminen tilaajalle</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Potilasturvallisuus</w:t>
            </w:r>
          </w:p>
          <w:p w:rsidR="00C26276" w:rsidRPr="00825B37" w:rsidRDefault="00C26276" w:rsidP="00C10B89">
            <w:pPr>
              <w:spacing w:before="100" w:beforeAutospacing="1" w:after="100" w:afterAutospacing="1"/>
              <w:ind w:left="276"/>
              <w:textAlignment w:val="baseline"/>
              <w:rPr>
                <w:rFonts w:ascii="Tahoma" w:hAnsi="Tahoma" w:cs="Tahoma"/>
                <w:bCs/>
                <w:sz w:val="20"/>
                <w:szCs w:val="20"/>
                <w:lang w:eastAsia="fi-FI"/>
              </w:rPr>
            </w:pPr>
          </w:p>
        </w:tc>
      </w:tr>
      <w:tr w:rsidR="00C26276" w:rsidRPr="00EE08CC" w:rsidTr="006929B5">
        <w:trPr>
          <w:trHeight w:val="410"/>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10B89">
            <w:pPr>
              <w:rPr>
                <w:rFonts w:ascii="Tahoma" w:hAnsi="Tahoma" w:cs="Tahoma"/>
                <w:sz w:val="20"/>
                <w:szCs w:val="20"/>
                <w:lang w:eastAsia="fi-FI"/>
              </w:rPr>
            </w:pPr>
            <w:r w:rsidRPr="00825B37">
              <w:rPr>
                <w:rFonts w:ascii="Tahoma" w:hAnsi="Tahoma" w:cs="Tahoma"/>
                <w:b/>
                <w:bCs/>
                <w:sz w:val="20"/>
                <w:szCs w:val="20"/>
                <w:lang w:eastAsia="fi-FI"/>
              </w:rPr>
              <w:t>Asiakaspalvelu- ja ohjausosaaminen</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26276">
            <w:pPr>
              <w:numPr>
                <w:ilvl w:val="0"/>
                <w:numId w:val="13"/>
              </w:numPr>
              <w:textAlignment w:val="baseline"/>
              <w:rPr>
                <w:rFonts w:ascii="Tahoma" w:hAnsi="Tahoma" w:cs="Tahoma"/>
                <w:sz w:val="20"/>
                <w:szCs w:val="20"/>
                <w:lang w:eastAsia="fi-FI"/>
              </w:rPr>
            </w:pPr>
            <w:r w:rsidRPr="00825B37">
              <w:rPr>
                <w:rFonts w:ascii="Tahoma" w:hAnsi="Tahoma" w:cs="Tahoma"/>
                <w:sz w:val="20"/>
                <w:szCs w:val="20"/>
                <w:lang w:eastAsia="fi-FI"/>
              </w:rPr>
              <w:t xml:space="preserve">toimii aloitteellisesti ja vastuullisesti asiakassuhteissa </w:t>
            </w:r>
          </w:p>
          <w:p w:rsidR="00C26276" w:rsidRPr="00825B37" w:rsidRDefault="00C26276" w:rsidP="00C26276">
            <w:pPr>
              <w:numPr>
                <w:ilvl w:val="0"/>
                <w:numId w:val="13"/>
              </w:numPr>
              <w:textAlignment w:val="baseline"/>
              <w:rPr>
                <w:rFonts w:ascii="Tahoma" w:hAnsi="Tahoma" w:cs="Tahoma"/>
                <w:sz w:val="20"/>
                <w:szCs w:val="20"/>
                <w:lang w:eastAsia="fi-FI"/>
              </w:rPr>
            </w:pPr>
            <w:r w:rsidRPr="00825B37">
              <w:rPr>
                <w:rFonts w:ascii="Tahoma" w:hAnsi="Tahoma" w:cs="Tahoma"/>
                <w:sz w:val="20"/>
                <w:szCs w:val="20"/>
                <w:lang w:eastAsia="fi-FI"/>
              </w:rPr>
              <w:t>suunnittelee ja toteuttaa laboratoriopalveluita asiakaslähtöisesti</w:t>
            </w:r>
          </w:p>
          <w:p w:rsidR="00C26276" w:rsidRPr="00825B37" w:rsidRDefault="00C26276" w:rsidP="00C26276">
            <w:pPr>
              <w:numPr>
                <w:ilvl w:val="0"/>
                <w:numId w:val="13"/>
              </w:numPr>
              <w:textAlignment w:val="baseline"/>
              <w:rPr>
                <w:rFonts w:ascii="Tahoma" w:hAnsi="Tahoma" w:cs="Tahoma"/>
                <w:sz w:val="20"/>
                <w:szCs w:val="20"/>
                <w:lang w:eastAsia="fi-FI"/>
              </w:rPr>
            </w:pPr>
            <w:r w:rsidRPr="00825B37">
              <w:rPr>
                <w:rFonts w:ascii="Tahoma" w:hAnsi="Tahoma" w:cs="Tahoma"/>
                <w:sz w:val="20"/>
                <w:szCs w:val="20"/>
                <w:lang w:eastAsia="fi-FI"/>
              </w:rPr>
              <w:t>suunnittelee ja tekee opetuksessa ja ohjauksessa tarvittavaa materiaalia ja vastaa omalta osaltaan muun terveydenhuoltohenkilöstön koulutuksesta ja potilaiden ohjauksesta</w:t>
            </w:r>
          </w:p>
          <w:p w:rsidR="00C26276" w:rsidRPr="00825B37" w:rsidRDefault="00C26276" w:rsidP="00C26276">
            <w:pPr>
              <w:numPr>
                <w:ilvl w:val="0"/>
                <w:numId w:val="13"/>
              </w:numPr>
              <w:textAlignment w:val="baseline"/>
              <w:rPr>
                <w:rFonts w:ascii="Tahoma" w:hAnsi="Tahoma" w:cs="Tahoma"/>
                <w:sz w:val="20"/>
                <w:szCs w:val="20"/>
                <w:lang w:eastAsia="fi-FI"/>
              </w:rPr>
            </w:pPr>
            <w:r w:rsidRPr="00825B37">
              <w:rPr>
                <w:rFonts w:ascii="Tahoma" w:hAnsi="Tahoma" w:cs="Tahoma"/>
                <w:sz w:val="20"/>
                <w:szCs w:val="20"/>
                <w:lang w:eastAsia="fi-FI"/>
              </w:rPr>
              <w:t>suunnittelee ja toteuttaa laboratoriopalveluihin liittyvän opetuksen, ohjauksen ja neuvonnan</w:t>
            </w:r>
          </w:p>
          <w:p w:rsidR="00C26276" w:rsidRPr="00825B37" w:rsidRDefault="00C26276" w:rsidP="00C26276">
            <w:pPr>
              <w:numPr>
                <w:ilvl w:val="0"/>
                <w:numId w:val="13"/>
              </w:numPr>
              <w:textAlignment w:val="baseline"/>
              <w:rPr>
                <w:rFonts w:ascii="Tahoma" w:hAnsi="Tahoma" w:cs="Tahoma"/>
                <w:sz w:val="20"/>
                <w:szCs w:val="20"/>
                <w:lang w:eastAsia="fi-FI"/>
              </w:rPr>
            </w:pPr>
            <w:r w:rsidRPr="00825B37">
              <w:rPr>
                <w:rFonts w:ascii="Tahoma" w:hAnsi="Tahoma" w:cs="Tahoma"/>
                <w:sz w:val="20"/>
                <w:szCs w:val="20"/>
                <w:lang w:eastAsia="fi-FI"/>
              </w:rPr>
              <w:t>kehittää yhteistyötä laboratorion sisäisten ja ulkoisten asiakkaiden kanssa hyvän palvelun periaatteiden mukaisesti</w:t>
            </w:r>
          </w:p>
          <w:p w:rsidR="00C26276" w:rsidRPr="00825B37" w:rsidRDefault="00C26276" w:rsidP="00C26276">
            <w:pPr>
              <w:numPr>
                <w:ilvl w:val="0"/>
                <w:numId w:val="13"/>
              </w:numPr>
              <w:textAlignment w:val="baseline"/>
              <w:rPr>
                <w:rFonts w:ascii="Tahoma" w:hAnsi="Tahoma" w:cs="Tahoma"/>
                <w:sz w:val="20"/>
                <w:szCs w:val="20"/>
                <w:lang w:eastAsia="fi-FI"/>
              </w:rPr>
            </w:pPr>
            <w:r w:rsidRPr="00825B37">
              <w:rPr>
                <w:rFonts w:ascii="Tahoma" w:hAnsi="Tahoma" w:cs="Tahoma"/>
                <w:sz w:val="20"/>
                <w:szCs w:val="20"/>
                <w:lang w:eastAsia="fi-FI"/>
              </w:rPr>
              <w:t>kehittää terveysalan laboratoriopalvelutoiminnassa ja tieteellisessä tutkimustyössä tarvittavaa opetus- ja ohjausosaamistaan</w:t>
            </w:r>
          </w:p>
          <w:p w:rsidR="00C26276" w:rsidRPr="00825B37" w:rsidRDefault="00C26276" w:rsidP="00C26276">
            <w:pPr>
              <w:numPr>
                <w:ilvl w:val="0"/>
                <w:numId w:val="13"/>
              </w:numPr>
              <w:textAlignment w:val="baseline"/>
              <w:rPr>
                <w:rFonts w:ascii="Tahoma" w:hAnsi="Tahoma" w:cs="Tahoma"/>
                <w:sz w:val="20"/>
                <w:szCs w:val="20"/>
                <w:lang w:eastAsia="fi-FI"/>
              </w:rPr>
            </w:pPr>
            <w:r w:rsidRPr="00825B37">
              <w:rPr>
                <w:rFonts w:ascii="Tahoma" w:hAnsi="Tahoma" w:cs="Tahoma"/>
                <w:sz w:val="20"/>
                <w:szCs w:val="20"/>
                <w:lang w:eastAsia="fi-FI"/>
              </w:rPr>
              <w:lastRenderedPageBreak/>
              <w:t>osallistuu oman alansa asiantuntijana moniammatillisten tiimien toimintaan ja potilaan hoitoon</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lastRenderedPageBreak/>
              <w:t>Asiakas- ja käyttäjälähtöiset laboratoriopalvelut</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Asiakas- ja käyttäjälähtöinen ohjaus ja ohjausmateriaalit laboratoriotyössä (näyte-, potilas- ja vieritutkimukset)</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Moniammatillinen tiimitoiminta asiakasohjauksessa</w:t>
            </w:r>
          </w:p>
        </w:tc>
      </w:tr>
      <w:tr w:rsidR="00C26276" w:rsidRPr="00EE08CC" w:rsidTr="006929B5">
        <w:trPr>
          <w:trHeight w:val="978"/>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10B89">
            <w:pPr>
              <w:rPr>
                <w:rFonts w:ascii="Tahoma" w:hAnsi="Tahoma" w:cs="Tahoma"/>
                <w:sz w:val="20"/>
                <w:szCs w:val="20"/>
                <w:lang w:eastAsia="fi-FI"/>
              </w:rPr>
            </w:pPr>
            <w:r w:rsidRPr="00825B37">
              <w:rPr>
                <w:rFonts w:ascii="Tahoma" w:hAnsi="Tahoma" w:cs="Tahoma"/>
                <w:b/>
                <w:bCs/>
                <w:sz w:val="20"/>
                <w:szCs w:val="20"/>
                <w:lang w:eastAsia="fi-FI"/>
              </w:rPr>
              <w:lastRenderedPageBreak/>
              <w:t>Laatu-, turvallisuus- ja riskien hallintaosaaminen</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26276">
            <w:pPr>
              <w:numPr>
                <w:ilvl w:val="0"/>
                <w:numId w:val="14"/>
              </w:numPr>
              <w:textAlignment w:val="baseline"/>
              <w:rPr>
                <w:rFonts w:ascii="Tahoma" w:hAnsi="Tahoma" w:cs="Tahoma"/>
                <w:sz w:val="20"/>
                <w:szCs w:val="20"/>
                <w:lang w:eastAsia="fi-FI"/>
              </w:rPr>
            </w:pPr>
            <w:r w:rsidRPr="00825B37">
              <w:rPr>
                <w:rFonts w:ascii="Tahoma" w:hAnsi="Tahoma" w:cs="Tahoma"/>
                <w:sz w:val="20"/>
                <w:szCs w:val="20"/>
                <w:lang w:eastAsia="fi-FI"/>
              </w:rPr>
              <w:t>toimii laatujärjestelmän edellyttämällä tavalla.</w:t>
            </w:r>
          </w:p>
          <w:p w:rsidR="00C26276" w:rsidRPr="00825B37" w:rsidRDefault="00C26276" w:rsidP="00C26276">
            <w:pPr>
              <w:numPr>
                <w:ilvl w:val="0"/>
                <w:numId w:val="14"/>
              </w:numPr>
              <w:textAlignment w:val="baseline"/>
              <w:rPr>
                <w:rFonts w:ascii="Tahoma" w:hAnsi="Tahoma" w:cs="Tahoma"/>
                <w:sz w:val="20"/>
                <w:szCs w:val="20"/>
                <w:lang w:eastAsia="fi-FI"/>
              </w:rPr>
            </w:pPr>
            <w:r w:rsidRPr="00825B37">
              <w:rPr>
                <w:rFonts w:ascii="Tahoma" w:hAnsi="Tahoma" w:cs="Tahoma"/>
                <w:sz w:val="20"/>
                <w:szCs w:val="20"/>
                <w:lang w:eastAsia="fi-FI"/>
              </w:rPr>
              <w:t>arvioi laboratoriotutkimusprosessia ja tulkitsee sen merkitystä potilaan hoidossa tai osana tieteellistä tutkimusta</w:t>
            </w:r>
          </w:p>
          <w:p w:rsidR="00C26276" w:rsidRPr="00825B37" w:rsidRDefault="00C26276" w:rsidP="00C26276">
            <w:pPr>
              <w:numPr>
                <w:ilvl w:val="0"/>
                <w:numId w:val="14"/>
              </w:numPr>
              <w:textAlignment w:val="baseline"/>
              <w:rPr>
                <w:rFonts w:ascii="Tahoma" w:hAnsi="Tahoma" w:cs="Tahoma"/>
                <w:sz w:val="20"/>
                <w:szCs w:val="20"/>
                <w:lang w:eastAsia="fi-FI"/>
              </w:rPr>
            </w:pPr>
            <w:r w:rsidRPr="00825B37">
              <w:rPr>
                <w:rFonts w:ascii="Tahoma" w:hAnsi="Tahoma" w:cs="Tahoma"/>
                <w:sz w:val="20"/>
                <w:szCs w:val="20"/>
                <w:lang w:eastAsia="fi-FI"/>
              </w:rPr>
              <w:t>toimii potilasturvallisuus- ja laboratorion työturvallisuusohjeiden ja -säädösten mukaisesti ja luo turvallisen ilmapiirin potilaskontakteissa</w:t>
            </w:r>
          </w:p>
          <w:p w:rsidR="00C26276" w:rsidRPr="00825B37" w:rsidRDefault="00C26276" w:rsidP="00C26276">
            <w:pPr>
              <w:numPr>
                <w:ilvl w:val="0"/>
                <w:numId w:val="14"/>
              </w:numPr>
              <w:textAlignment w:val="baseline"/>
              <w:rPr>
                <w:rFonts w:ascii="Tahoma" w:hAnsi="Tahoma" w:cs="Tahoma"/>
                <w:sz w:val="20"/>
                <w:szCs w:val="20"/>
                <w:lang w:eastAsia="fi-FI"/>
              </w:rPr>
            </w:pPr>
            <w:r w:rsidRPr="00825B37">
              <w:rPr>
                <w:rFonts w:ascii="Tahoma" w:hAnsi="Tahoma" w:cs="Tahoma"/>
                <w:sz w:val="20"/>
                <w:szCs w:val="20"/>
                <w:lang w:eastAsia="fi-FI"/>
              </w:rPr>
              <w:t>toimii riskien hallintajärjestelmän mukaisesti ja ennakoi riskejä</w:t>
            </w:r>
          </w:p>
          <w:p w:rsidR="00C26276" w:rsidRPr="00825B37" w:rsidRDefault="00C26276" w:rsidP="00C26276">
            <w:pPr>
              <w:numPr>
                <w:ilvl w:val="0"/>
                <w:numId w:val="14"/>
              </w:numPr>
              <w:textAlignment w:val="baseline"/>
              <w:rPr>
                <w:rFonts w:ascii="Tahoma" w:hAnsi="Tahoma" w:cs="Tahoma"/>
                <w:sz w:val="20"/>
                <w:szCs w:val="20"/>
                <w:lang w:eastAsia="fi-FI"/>
              </w:rPr>
            </w:pPr>
            <w:r w:rsidRPr="00825B37">
              <w:rPr>
                <w:rFonts w:ascii="Tahoma" w:hAnsi="Tahoma" w:cs="Tahoma"/>
                <w:sz w:val="20"/>
                <w:szCs w:val="20"/>
                <w:lang w:eastAsia="fi-FI"/>
              </w:rPr>
              <w:t>kehittää laboratoriotoimintaa laatujärjestelmän ja kestävän kehityksen mukaisesti</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Laboratorion laatujärjestelmät</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Kliinisen laboratoriotyön prosessi terveydenhuollossa</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Potilas- ja laboratorion työturvallisuus</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Laboratoriotoiminnan riskien hallinta</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Kestävän kehityksen periaatteet laboratoriotoiminnassa</w:t>
            </w:r>
          </w:p>
        </w:tc>
      </w:tr>
      <w:tr w:rsidR="00C26276" w:rsidRPr="00EE08CC" w:rsidTr="006929B5">
        <w:trPr>
          <w:trHeight w:val="2254"/>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10B89">
            <w:pPr>
              <w:rPr>
                <w:rFonts w:ascii="Tahoma" w:hAnsi="Tahoma" w:cs="Tahoma"/>
                <w:sz w:val="20"/>
                <w:szCs w:val="20"/>
                <w:lang w:eastAsia="fi-FI"/>
              </w:rPr>
            </w:pPr>
            <w:r w:rsidRPr="00825B37">
              <w:rPr>
                <w:rFonts w:ascii="Tahoma" w:hAnsi="Tahoma" w:cs="Tahoma"/>
                <w:b/>
                <w:bCs/>
                <w:sz w:val="20"/>
                <w:szCs w:val="20"/>
                <w:lang w:eastAsia="fi-FI"/>
              </w:rPr>
              <w:t>Laboratoriotyön ammattieettinen osaaminen ja ammatillisuus</w:t>
            </w:r>
          </w:p>
          <w:p w:rsidR="00C26276" w:rsidRPr="00825B37" w:rsidRDefault="00C26276" w:rsidP="00C10B89">
            <w:pPr>
              <w:rPr>
                <w:rFonts w:ascii="Tahoma" w:hAnsi="Tahoma" w:cs="Tahoma"/>
                <w:sz w:val="20"/>
                <w:szCs w:val="20"/>
                <w:lang w:eastAsia="fi-FI"/>
              </w:rPr>
            </w:pP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26276">
            <w:pPr>
              <w:numPr>
                <w:ilvl w:val="0"/>
                <w:numId w:val="15"/>
              </w:numPr>
              <w:textAlignment w:val="baseline"/>
              <w:rPr>
                <w:rFonts w:ascii="Tahoma" w:hAnsi="Tahoma" w:cs="Tahoma"/>
                <w:sz w:val="20"/>
                <w:szCs w:val="20"/>
                <w:lang w:eastAsia="fi-FI"/>
              </w:rPr>
            </w:pPr>
            <w:r w:rsidRPr="00825B37">
              <w:rPr>
                <w:rFonts w:ascii="Tahoma" w:hAnsi="Tahoma" w:cs="Tahoma"/>
                <w:sz w:val="20"/>
                <w:szCs w:val="20"/>
                <w:lang w:eastAsia="fi-FI"/>
              </w:rPr>
              <w:t>toimii kliinisen laboratorioalan ja terveydenhuollon arvojen ja ammattieettisten periaatteiden mukaisesti</w:t>
            </w:r>
          </w:p>
          <w:p w:rsidR="00C26276" w:rsidRPr="00825B37" w:rsidRDefault="00C26276" w:rsidP="00C26276">
            <w:pPr>
              <w:numPr>
                <w:ilvl w:val="0"/>
                <w:numId w:val="15"/>
              </w:numPr>
              <w:textAlignment w:val="baseline"/>
              <w:rPr>
                <w:rFonts w:ascii="Tahoma" w:hAnsi="Tahoma" w:cs="Tahoma"/>
                <w:sz w:val="20"/>
                <w:szCs w:val="20"/>
                <w:lang w:eastAsia="fi-FI"/>
              </w:rPr>
            </w:pPr>
            <w:r w:rsidRPr="00825B37">
              <w:rPr>
                <w:rFonts w:ascii="Tahoma" w:hAnsi="Tahoma" w:cs="Tahoma"/>
                <w:sz w:val="20"/>
                <w:szCs w:val="20"/>
                <w:lang w:eastAsia="fi-FI"/>
              </w:rPr>
              <w:t>tuo esiin omia ammattieettisiä näkökulmia sosiaali- ja terveysalalla ja käy ammattieettistä vuoropuhelua</w:t>
            </w:r>
          </w:p>
          <w:p w:rsidR="00C26276" w:rsidRPr="00825B37" w:rsidRDefault="00C26276" w:rsidP="00C26276">
            <w:pPr>
              <w:numPr>
                <w:ilvl w:val="0"/>
                <w:numId w:val="15"/>
              </w:numPr>
              <w:textAlignment w:val="baseline"/>
              <w:rPr>
                <w:rFonts w:ascii="Tahoma" w:hAnsi="Tahoma" w:cs="Tahoma"/>
                <w:sz w:val="20"/>
                <w:szCs w:val="20"/>
                <w:lang w:eastAsia="fi-FI"/>
              </w:rPr>
            </w:pPr>
            <w:r w:rsidRPr="00825B37">
              <w:rPr>
                <w:rFonts w:ascii="Tahoma" w:hAnsi="Tahoma" w:cs="Tahoma"/>
                <w:sz w:val="20"/>
                <w:szCs w:val="20"/>
                <w:lang w:eastAsia="fi-FI"/>
              </w:rPr>
              <w:t xml:space="preserve">ottaa vastuun ammatillisesta kehittymisestään </w:t>
            </w:r>
          </w:p>
          <w:p w:rsidR="00C26276" w:rsidRPr="00825B37" w:rsidRDefault="00C26276" w:rsidP="00C26276">
            <w:pPr>
              <w:numPr>
                <w:ilvl w:val="0"/>
                <w:numId w:val="15"/>
              </w:numPr>
              <w:textAlignment w:val="baseline"/>
              <w:rPr>
                <w:rFonts w:ascii="Tahoma" w:hAnsi="Tahoma" w:cs="Tahoma"/>
                <w:sz w:val="20"/>
                <w:szCs w:val="20"/>
                <w:lang w:eastAsia="fi-FI"/>
              </w:rPr>
            </w:pPr>
            <w:r w:rsidRPr="00825B37">
              <w:rPr>
                <w:rFonts w:ascii="Tahoma" w:hAnsi="Tahoma" w:cs="Tahoma"/>
                <w:sz w:val="20"/>
                <w:szCs w:val="20"/>
                <w:lang w:eastAsia="fi-FI"/>
              </w:rPr>
              <w:t xml:space="preserve">toimii tietosuojan edellyttämällä tavalla potilas - ja tutkimustyössä </w:t>
            </w:r>
          </w:p>
          <w:p w:rsidR="00C26276" w:rsidRPr="00825B37" w:rsidRDefault="00C26276" w:rsidP="00C26276">
            <w:pPr>
              <w:numPr>
                <w:ilvl w:val="0"/>
                <w:numId w:val="15"/>
              </w:numPr>
              <w:textAlignment w:val="baseline"/>
              <w:rPr>
                <w:rFonts w:ascii="Tahoma" w:hAnsi="Tahoma" w:cs="Tahoma"/>
                <w:sz w:val="20"/>
                <w:szCs w:val="20"/>
                <w:lang w:eastAsia="fi-FI"/>
              </w:rPr>
            </w:pPr>
            <w:r w:rsidRPr="00825B37">
              <w:rPr>
                <w:rFonts w:ascii="Tahoma" w:hAnsi="Tahoma" w:cs="Tahoma"/>
                <w:sz w:val="20"/>
                <w:szCs w:val="20"/>
                <w:lang w:eastAsia="fi-FI"/>
              </w:rPr>
              <w:t xml:space="preserve">käsittelee biologista materiaalia lainsäädännön edellyttämällä tavalla ja toimii potilaan oikeuksia kunnioittaen </w:t>
            </w:r>
          </w:p>
          <w:p w:rsidR="00C26276" w:rsidRPr="00825B37" w:rsidRDefault="00C26276" w:rsidP="00C26276">
            <w:pPr>
              <w:numPr>
                <w:ilvl w:val="0"/>
                <w:numId w:val="15"/>
              </w:numPr>
              <w:textAlignment w:val="baseline"/>
              <w:rPr>
                <w:rFonts w:ascii="Tahoma" w:hAnsi="Tahoma" w:cs="Tahoma"/>
                <w:sz w:val="20"/>
                <w:szCs w:val="20"/>
                <w:lang w:eastAsia="fi-FI"/>
              </w:rPr>
            </w:pPr>
            <w:r w:rsidRPr="00825B37">
              <w:rPr>
                <w:rFonts w:ascii="Tahoma" w:hAnsi="Tahoma" w:cs="Tahoma"/>
                <w:sz w:val="20"/>
                <w:szCs w:val="20"/>
                <w:lang w:eastAsia="fi-FI"/>
              </w:rPr>
              <w:t xml:space="preserve">toimii kollegiaalisesti ja kehittää työyhteisöä eettisesti kestävällä tavalla </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Kliinisen laboratoriotyön (arvot) eettiset periaatteet</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Ammatillinen kehittyminen kliinisessä laboratoriotyössä</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Tietoturva potilas- ja tutkimustyössä</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Biologista näytemateriaalia koskeva lainsäädäntö</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Bioanalyytikon ammattia säätelevä lainsäädäntö</w:t>
            </w:r>
          </w:p>
          <w:p w:rsidR="00C26276" w:rsidRPr="00825B37" w:rsidRDefault="00C26276" w:rsidP="00C10B89">
            <w:pPr>
              <w:spacing w:before="100" w:beforeAutospacing="1" w:after="100" w:afterAutospacing="1"/>
              <w:ind w:left="276"/>
              <w:textAlignment w:val="baseline"/>
              <w:rPr>
                <w:rFonts w:ascii="Tahoma" w:hAnsi="Tahoma" w:cs="Tahoma"/>
                <w:bCs/>
                <w:sz w:val="20"/>
                <w:szCs w:val="20"/>
                <w:lang w:eastAsia="fi-FI"/>
              </w:rPr>
            </w:pPr>
          </w:p>
        </w:tc>
      </w:tr>
      <w:tr w:rsidR="00C26276" w:rsidRPr="00EE08CC" w:rsidTr="006929B5">
        <w:trPr>
          <w:trHeight w:val="1261"/>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10B89">
            <w:pPr>
              <w:rPr>
                <w:rFonts w:ascii="Tahoma" w:hAnsi="Tahoma" w:cs="Tahoma"/>
                <w:sz w:val="20"/>
                <w:szCs w:val="20"/>
                <w:lang w:eastAsia="fi-FI"/>
              </w:rPr>
            </w:pPr>
            <w:r w:rsidRPr="00825B37">
              <w:rPr>
                <w:rFonts w:ascii="Tahoma" w:hAnsi="Tahoma" w:cs="Tahoma"/>
                <w:b/>
                <w:bCs/>
                <w:sz w:val="20"/>
                <w:szCs w:val="20"/>
                <w:lang w:eastAsia="fi-FI"/>
              </w:rPr>
              <w:t xml:space="preserve">Tutkimus-, </w:t>
            </w:r>
            <w:proofErr w:type="spellStart"/>
            <w:r w:rsidRPr="00825B37">
              <w:rPr>
                <w:rFonts w:ascii="Tahoma" w:hAnsi="Tahoma" w:cs="Tahoma"/>
                <w:b/>
                <w:bCs/>
                <w:sz w:val="20"/>
                <w:szCs w:val="20"/>
                <w:lang w:eastAsia="fi-FI"/>
              </w:rPr>
              <w:t>kehittämis</w:t>
            </w:r>
            <w:proofErr w:type="spellEnd"/>
            <w:r w:rsidRPr="00825B37">
              <w:rPr>
                <w:rFonts w:ascii="Tahoma" w:hAnsi="Tahoma" w:cs="Tahoma"/>
                <w:b/>
                <w:bCs/>
                <w:sz w:val="20"/>
                <w:szCs w:val="20"/>
                <w:lang w:eastAsia="fi-FI"/>
              </w:rPr>
              <w:t>- ja johtamisosaaminen</w:t>
            </w:r>
          </w:p>
          <w:p w:rsidR="00C26276" w:rsidRPr="00825B37" w:rsidRDefault="00C26276" w:rsidP="00C10B89">
            <w:pPr>
              <w:rPr>
                <w:rFonts w:ascii="Tahoma" w:hAnsi="Tahoma" w:cs="Tahoma"/>
                <w:sz w:val="20"/>
                <w:szCs w:val="20"/>
                <w:lang w:eastAsia="fi-FI"/>
              </w:rPr>
            </w:pP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26276">
            <w:pPr>
              <w:numPr>
                <w:ilvl w:val="0"/>
                <w:numId w:val="16"/>
              </w:numPr>
              <w:textAlignment w:val="baseline"/>
              <w:rPr>
                <w:rFonts w:ascii="Tahoma" w:hAnsi="Tahoma" w:cs="Tahoma"/>
                <w:sz w:val="20"/>
                <w:szCs w:val="20"/>
                <w:lang w:eastAsia="fi-FI"/>
              </w:rPr>
            </w:pPr>
            <w:r w:rsidRPr="00825B37">
              <w:rPr>
                <w:rFonts w:ascii="Tahoma" w:hAnsi="Tahoma" w:cs="Tahoma"/>
                <w:sz w:val="20"/>
                <w:szCs w:val="20"/>
              </w:rPr>
              <w:t>osallistuu terveydenhuollon ja kliinisen laboratoriotoiminnan kehittämishankkeisiin ja -projekteihin moniammatillisissa tiimeissä</w:t>
            </w:r>
          </w:p>
          <w:p w:rsidR="00C26276" w:rsidRPr="00825B37" w:rsidRDefault="00C26276" w:rsidP="00C26276">
            <w:pPr>
              <w:numPr>
                <w:ilvl w:val="0"/>
                <w:numId w:val="16"/>
              </w:numPr>
              <w:textAlignment w:val="baseline"/>
              <w:rPr>
                <w:rFonts w:ascii="Tahoma" w:hAnsi="Tahoma" w:cs="Tahoma"/>
                <w:sz w:val="20"/>
                <w:szCs w:val="20"/>
                <w:lang w:eastAsia="fi-FI"/>
              </w:rPr>
            </w:pPr>
            <w:r w:rsidRPr="00825B37">
              <w:rPr>
                <w:rFonts w:ascii="Tahoma" w:hAnsi="Tahoma" w:cs="Tahoma"/>
                <w:sz w:val="20"/>
                <w:szCs w:val="20"/>
              </w:rPr>
              <w:t>toimii sisäisen yrittäjyyden periaatteiden mukaisesti ja toimii yrittäjämäisesti eri toimintaympäristöissä</w:t>
            </w:r>
          </w:p>
          <w:p w:rsidR="00C26276" w:rsidRPr="00825B37" w:rsidRDefault="00C26276" w:rsidP="00C26276">
            <w:pPr>
              <w:numPr>
                <w:ilvl w:val="0"/>
                <w:numId w:val="17"/>
              </w:numPr>
              <w:textAlignment w:val="baseline"/>
              <w:rPr>
                <w:rFonts w:ascii="Tahoma" w:hAnsi="Tahoma" w:cs="Tahoma"/>
                <w:sz w:val="20"/>
                <w:szCs w:val="20"/>
                <w:lang w:eastAsia="fi-FI"/>
              </w:rPr>
            </w:pPr>
            <w:r w:rsidRPr="00825B37">
              <w:rPr>
                <w:rFonts w:ascii="Tahoma" w:hAnsi="Tahoma" w:cs="Tahoma"/>
                <w:sz w:val="20"/>
                <w:szCs w:val="20"/>
                <w:lang w:eastAsia="fi-FI"/>
              </w:rPr>
              <w:t>hyödyntää asiantuntevasti näyttöön perustuvaa tietoa terveysalan laboratoriopalvelutuotantoprosessissa ja sen kehittämisessä</w:t>
            </w:r>
          </w:p>
          <w:p w:rsidR="00C26276" w:rsidRPr="00825B37" w:rsidRDefault="00C26276" w:rsidP="00C10B89">
            <w:pPr>
              <w:numPr>
                <w:ilvl w:val="0"/>
                <w:numId w:val="18"/>
              </w:numPr>
              <w:textAlignment w:val="baseline"/>
              <w:rPr>
                <w:rFonts w:ascii="Tahoma" w:hAnsi="Tahoma" w:cs="Tahoma"/>
                <w:sz w:val="20"/>
                <w:szCs w:val="20"/>
                <w:lang w:eastAsia="fi-FI"/>
              </w:rPr>
            </w:pPr>
            <w:r w:rsidRPr="00825B37">
              <w:rPr>
                <w:rFonts w:ascii="Tahoma" w:hAnsi="Tahoma" w:cs="Tahoma"/>
                <w:sz w:val="20"/>
                <w:szCs w:val="20"/>
                <w:lang w:eastAsia="fi-FI"/>
              </w:rPr>
              <w:t xml:space="preserve">toimii taloudellisesti ja kustannusvaikuttavasti sekä markkinoi terveysalan laboratoriopalvelujen asiantuntijuuttaan hyödynnettäväksi potilaan hoidossa </w:t>
            </w:r>
          </w:p>
          <w:p w:rsidR="00C26276" w:rsidRPr="00825B37" w:rsidRDefault="00C26276" w:rsidP="00C10B89">
            <w:pPr>
              <w:numPr>
                <w:ilvl w:val="0"/>
                <w:numId w:val="18"/>
              </w:numPr>
              <w:textAlignment w:val="baseline"/>
              <w:rPr>
                <w:rFonts w:ascii="Tahoma" w:hAnsi="Tahoma" w:cs="Tahoma"/>
                <w:sz w:val="20"/>
                <w:szCs w:val="20"/>
                <w:lang w:eastAsia="fi-FI"/>
              </w:rPr>
            </w:pPr>
            <w:r w:rsidRPr="00825B37">
              <w:rPr>
                <w:rFonts w:ascii="Tahoma" w:hAnsi="Tahoma" w:cs="Tahoma"/>
                <w:sz w:val="20"/>
                <w:szCs w:val="20"/>
                <w:lang w:eastAsia="fi-FI"/>
              </w:rPr>
              <w:t>osallistuu talouden suunnitteluun, tuotteiden hinnoitteluun sekä palveluiden hankintaan yhteistyössä muiden ammattilaisten kanssa</w:t>
            </w:r>
          </w:p>
          <w:p w:rsidR="00C26276" w:rsidRPr="00825B37" w:rsidRDefault="00C26276" w:rsidP="00C10B89">
            <w:pPr>
              <w:numPr>
                <w:ilvl w:val="0"/>
                <w:numId w:val="18"/>
              </w:numPr>
              <w:textAlignment w:val="baseline"/>
              <w:rPr>
                <w:rFonts w:ascii="Tahoma" w:hAnsi="Tahoma" w:cs="Tahoma"/>
                <w:sz w:val="20"/>
                <w:szCs w:val="20"/>
                <w:lang w:eastAsia="fi-FI"/>
              </w:rPr>
            </w:pPr>
            <w:r w:rsidRPr="00825B37">
              <w:rPr>
                <w:rFonts w:ascii="Tahoma" w:hAnsi="Tahoma" w:cs="Tahoma"/>
                <w:sz w:val="20"/>
                <w:szCs w:val="20"/>
                <w:lang w:eastAsia="fi-FI"/>
              </w:rPr>
              <w:t xml:space="preserve">suunnittelee, ohjaa ja organisoi tiimien toimintaa ja toimii tiimivastaavana </w:t>
            </w:r>
          </w:p>
          <w:p w:rsidR="00C26276" w:rsidRPr="00825B37" w:rsidRDefault="00C26276" w:rsidP="00C10B89">
            <w:pPr>
              <w:numPr>
                <w:ilvl w:val="0"/>
                <w:numId w:val="18"/>
              </w:numPr>
              <w:textAlignment w:val="baseline"/>
              <w:rPr>
                <w:rFonts w:ascii="Tahoma" w:hAnsi="Tahoma" w:cs="Tahoma"/>
                <w:sz w:val="20"/>
                <w:szCs w:val="20"/>
                <w:lang w:eastAsia="fi-FI"/>
              </w:rPr>
            </w:pPr>
            <w:r w:rsidRPr="00825B37">
              <w:rPr>
                <w:rFonts w:ascii="Tahoma" w:hAnsi="Tahoma" w:cs="Tahoma"/>
                <w:sz w:val="20"/>
                <w:szCs w:val="20"/>
                <w:lang w:eastAsia="fi-FI"/>
              </w:rPr>
              <w:t>kehittää työelämäyhteyksiä ja asiantuntijaverkostoja sekä viestintä- ja vuorovaikutustilanteita </w:t>
            </w:r>
          </w:p>
          <w:p w:rsidR="00C26276" w:rsidRPr="00825B37" w:rsidRDefault="00C26276" w:rsidP="00C10B89">
            <w:pPr>
              <w:numPr>
                <w:ilvl w:val="0"/>
                <w:numId w:val="18"/>
              </w:numPr>
              <w:textAlignment w:val="baseline"/>
              <w:rPr>
                <w:rFonts w:ascii="Tahoma" w:hAnsi="Tahoma" w:cs="Tahoma"/>
                <w:sz w:val="20"/>
                <w:szCs w:val="20"/>
                <w:lang w:eastAsia="fi-FI"/>
              </w:rPr>
            </w:pPr>
            <w:r w:rsidRPr="00825B37">
              <w:rPr>
                <w:rFonts w:ascii="Tahoma" w:hAnsi="Tahoma" w:cs="Tahoma"/>
                <w:sz w:val="20"/>
                <w:szCs w:val="20"/>
                <w:lang w:eastAsia="fi-FI"/>
              </w:rPr>
              <w:t>Statistiikka</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Tutkimus- ja kehitystoiminta kliinisessä laboratoriotyössä</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Projektityö</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Innovaatiot</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Näyttöön perustuva toiminta</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Sisäinen yrittäjyys ja yrittäjyys uravaihtoehtona</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Työyhteisöosaaminen</w:t>
            </w:r>
          </w:p>
          <w:p w:rsidR="00C26276" w:rsidRPr="00825B37" w:rsidRDefault="00C26276" w:rsidP="00C26276">
            <w:pPr>
              <w:numPr>
                <w:ilvl w:val="0"/>
                <w:numId w:val="8"/>
              </w:numPr>
              <w:spacing w:before="100" w:beforeAutospacing="1" w:after="100" w:afterAutospacing="1"/>
              <w:ind w:left="276" w:hanging="276"/>
              <w:textAlignment w:val="baseline"/>
              <w:rPr>
                <w:rFonts w:ascii="Tahoma" w:hAnsi="Tahoma" w:cs="Tahoma"/>
                <w:bCs/>
                <w:sz w:val="20"/>
                <w:szCs w:val="20"/>
                <w:lang w:eastAsia="fi-FI"/>
              </w:rPr>
            </w:pPr>
            <w:r w:rsidRPr="00825B37">
              <w:rPr>
                <w:rFonts w:ascii="Tahoma" w:hAnsi="Tahoma" w:cs="Tahoma"/>
                <w:bCs/>
                <w:sz w:val="20"/>
                <w:szCs w:val="20"/>
                <w:lang w:eastAsia="fi-FI"/>
              </w:rPr>
              <w:t xml:space="preserve">Talous- ja kustannusosaaminen </w:t>
            </w:r>
          </w:p>
          <w:p w:rsidR="00C26276" w:rsidRPr="00825B37" w:rsidRDefault="00C26276" w:rsidP="00C26276">
            <w:pPr>
              <w:textAlignment w:val="baseline"/>
              <w:rPr>
                <w:rFonts w:ascii="Tahoma" w:hAnsi="Tahoma" w:cs="Tahoma"/>
                <w:sz w:val="20"/>
                <w:szCs w:val="20"/>
                <w:lang w:eastAsia="fi-FI"/>
              </w:rPr>
            </w:pPr>
          </w:p>
        </w:tc>
      </w:tr>
    </w:tbl>
    <w:p w:rsidR="00C26276" w:rsidRDefault="00C26276" w:rsidP="000B092A"/>
    <w:sectPr w:rsidR="00C26276" w:rsidSect="00C2627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23333"/>
    <w:multiLevelType w:val="multilevel"/>
    <w:tmpl w:val="C716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750AA"/>
    <w:multiLevelType w:val="hybridMultilevel"/>
    <w:tmpl w:val="90301A6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8D839A5"/>
    <w:multiLevelType w:val="hybridMultilevel"/>
    <w:tmpl w:val="354AE2F4"/>
    <w:lvl w:ilvl="0" w:tplc="040B0005">
      <w:start w:val="1"/>
      <w:numFmt w:val="bullet"/>
      <w:lvlText w:val=""/>
      <w:lvlJc w:val="left"/>
      <w:pPr>
        <w:ind w:left="720" w:hanging="360"/>
      </w:pPr>
      <w:rPr>
        <w:rFonts w:ascii="Wingdings" w:hAnsi="Wingdings" w:hint="default"/>
      </w:rPr>
    </w:lvl>
    <w:lvl w:ilvl="1" w:tplc="2B08393A">
      <w:numFmt w:val="bullet"/>
      <w:lvlText w:val="-"/>
      <w:lvlJc w:val="left"/>
      <w:pPr>
        <w:ind w:left="1440" w:hanging="360"/>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F6D5E94"/>
    <w:multiLevelType w:val="multilevel"/>
    <w:tmpl w:val="5DF2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13B73"/>
    <w:multiLevelType w:val="hybridMultilevel"/>
    <w:tmpl w:val="C5EEC8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8AB53C8"/>
    <w:multiLevelType w:val="hybridMultilevel"/>
    <w:tmpl w:val="F60CD8D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AFC30C7"/>
    <w:multiLevelType w:val="multilevel"/>
    <w:tmpl w:val="E6C8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D7072"/>
    <w:multiLevelType w:val="multilevel"/>
    <w:tmpl w:val="2232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B4867"/>
    <w:multiLevelType w:val="hybridMultilevel"/>
    <w:tmpl w:val="B0729B96"/>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69E598D"/>
    <w:multiLevelType w:val="hybridMultilevel"/>
    <w:tmpl w:val="8D40732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4452B8D"/>
    <w:multiLevelType w:val="multilevel"/>
    <w:tmpl w:val="DFF6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D3141"/>
    <w:multiLevelType w:val="multilevel"/>
    <w:tmpl w:val="A216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507580"/>
    <w:multiLevelType w:val="multilevel"/>
    <w:tmpl w:val="F2E0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AC7244"/>
    <w:multiLevelType w:val="multilevel"/>
    <w:tmpl w:val="E72A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134D3"/>
    <w:multiLevelType w:val="multilevel"/>
    <w:tmpl w:val="777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FE110D"/>
    <w:multiLevelType w:val="multilevel"/>
    <w:tmpl w:val="BA00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C80B77"/>
    <w:multiLevelType w:val="multilevel"/>
    <w:tmpl w:val="E710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932851"/>
    <w:multiLevelType w:val="multilevel"/>
    <w:tmpl w:val="E53A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563BF2"/>
    <w:multiLevelType w:val="hybridMultilevel"/>
    <w:tmpl w:val="D556CC6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5"/>
  </w:num>
  <w:num w:numId="5">
    <w:abstractNumId w:val="18"/>
  </w:num>
  <w:num w:numId="6">
    <w:abstractNumId w:val="1"/>
  </w:num>
  <w:num w:numId="7">
    <w:abstractNumId w:val="7"/>
  </w:num>
  <w:num w:numId="8">
    <w:abstractNumId w:val="10"/>
  </w:num>
  <w:num w:numId="9">
    <w:abstractNumId w:val="13"/>
  </w:num>
  <w:num w:numId="10">
    <w:abstractNumId w:val="16"/>
  </w:num>
  <w:num w:numId="11">
    <w:abstractNumId w:val="11"/>
  </w:num>
  <w:num w:numId="12">
    <w:abstractNumId w:val="17"/>
  </w:num>
  <w:num w:numId="13">
    <w:abstractNumId w:val="6"/>
  </w:num>
  <w:num w:numId="14">
    <w:abstractNumId w:val="3"/>
  </w:num>
  <w:num w:numId="15">
    <w:abstractNumId w:val="12"/>
  </w:num>
  <w:num w:numId="16">
    <w:abstractNumId w:val="15"/>
  </w:num>
  <w:num w:numId="17">
    <w:abstractNumId w:val="0"/>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AE"/>
    <w:rsid w:val="000B092A"/>
    <w:rsid w:val="000C6BAE"/>
    <w:rsid w:val="003340D9"/>
    <w:rsid w:val="006929B5"/>
    <w:rsid w:val="007A09AB"/>
    <w:rsid w:val="00825B37"/>
    <w:rsid w:val="0087417D"/>
    <w:rsid w:val="009A45DE"/>
    <w:rsid w:val="00B856AF"/>
    <w:rsid w:val="00C26276"/>
    <w:rsid w:val="00E261E3"/>
    <w:rsid w:val="00E55C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F3076-B66D-406E-8BCC-77DB23E5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C6BAE"/>
    <w:pPr>
      <w:spacing w:after="0" w:line="240" w:lineRule="auto"/>
    </w:pPr>
    <w:rPr>
      <w:rFonts w:ascii="Times New Roman" w:eastAsia="Times New Roman" w:hAnsi="Times New Roman" w:cs="Times New Roman"/>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C26276"/>
    <w:pPr>
      <w:autoSpaceDE w:val="0"/>
      <w:autoSpaceDN w:val="0"/>
      <w:adjustRightInd w:val="0"/>
      <w:spacing w:after="0" w:line="240" w:lineRule="auto"/>
    </w:pPr>
    <w:rPr>
      <w:rFonts w:ascii="Calibri" w:eastAsia="Calibri" w:hAnsi="Calibri" w:cs="Calibri"/>
      <w:color w:val="000000"/>
      <w:sz w:val="24"/>
      <w:szCs w:val="24"/>
    </w:rPr>
  </w:style>
  <w:style w:type="paragraph" w:styleId="Luettelokappale">
    <w:name w:val="List Paragraph"/>
    <w:basedOn w:val="Normaali"/>
    <w:uiPriority w:val="34"/>
    <w:qFormat/>
    <w:rsid w:val="00C26276"/>
    <w:pPr>
      <w:ind w:left="720"/>
      <w:contextualSpacing/>
    </w:pPr>
    <w:rPr>
      <w:lang w:val="en-US"/>
    </w:rPr>
  </w:style>
  <w:style w:type="character" w:customStyle="1" w:styleId="details">
    <w:name w:val="details"/>
    <w:basedOn w:val="Kappaleenoletusfontti"/>
    <w:rsid w:val="00C26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1212</Words>
  <Characters>9822</Characters>
  <Application>Microsoft Office Word</Application>
  <DocSecurity>0</DocSecurity>
  <Lines>81</Lines>
  <Paragraphs>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11012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Sirkka-Liisa Halimaa</dc:creator>
  <cp:lastModifiedBy>Marja Kopeli</cp:lastModifiedBy>
  <cp:revision>4</cp:revision>
  <dcterms:created xsi:type="dcterms:W3CDTF">2016-01-26T10:40:00Z</dcterms:created>
  <dcterms:modified xsi:type="dcterms:W3CDTF">2016-01-26T10:52:00Z</dcterms:modified>
</cp:coreProperties>
</file>