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3219C" w:rsidTr="0073219C">
        <w:tc>
          <w:tcPr>
            <w:tcW w:w="1204" w:type="dxa"/>
            <w:shd w:val="clear" w:color="auto" w:fill="31A3B5"/>
          </w:tcPr>
          <w:p w:rsidR="0073219C" w:rsidRPr="0073219C" w:rsidRDefault="0073219C" w:rsidP="00E27D12">
            <w:pPr>
              <w:spacing w:before="240"/>
              <w:rPr>
                <w:rFonts w:ascii="Tahoma" w:hAnsi="Tahoma" w:cs="Tahoma"/>
                <w:b/>
                <w:color w:val="FFFFFF" w:themeColor="background1"/>
                <w:sz w:val="24"/>
                <w:szCs w:val="24"/>
              </w:rPr>
            </w:pPr>
            <w:bookmarkStart w:id="0" w:name="_GoBack"/>
            <w:bookmarkEnd w:id="0"/>
          </w:p>
        </w:tc>
        <w:tc>
          <w:tcPr>
            <w:tcW w:w="4253" w:type="dxa"/>
            <w:shd w:val="clear" w:color="auto" w:fill="31A3B5"/>
          </w:tcPr>
          <w:p w:rsidR="0073219C" w:rsidRPr="0073219C" w:rsidRDefault="0073219C" w:rsidP="00E27D12">
            <w:pPr>
              <w:spacing w:before="240"/>
              <w:rPr>
                <w:rFonts w:ascii="Tahoma" w:hAnsi="Tahoma" w:cs="Tahoma"/>
                <w:b/>
                <w:color w:val="FFFFFF" w:themeColor="background1"/>
                <w:sz w:val="24"/>
                <w:szCs w:val="24"/>
              </w:rPr>
            </w:pPr>
            <w:r w:rsidRPr="0073219C">
              <w:rPr>
                <w:rFonts w:ascii="Tahoma" w:hAnsi="Tahoma" w:cs="Tahoma"/>
                <w:b/>
                <w:color w:val="FFFFFF" w:themeColor="background1"/>
                <w:sz w:val="24"/>
                <w:szCs w:val="24"/>
              </w:rPr>
              <w:t xml:space="preserve"> Vuositeema ja alateemat</w:t>
            </w:r>
          </w:p>
        </w:tc>
        <w:tc>
          <w:tcPr>
            <w:tcW w:w="4961" w:type="dxa"/>
            <w:shd w:val="clear" w:color="auto" w:fill="31A3B5"/>
          </w:tcPr>
          <w:p w:rsidR="0073219C" w:rsidRPr="0073219C" w:rsidRDefault="0073219C" w:rsidP="00E27D12">
            <w:pPr>
              <w:spacing w:before="240"/>
              <w:rPr>
                <w:rFonts w:ascii="Tahoma" w:hAnsi="Tahoma" w:cs="Tahoma"/>
                <w:b/>
                <w:color w:val="FFFFFF" w:themeColor="background1"/>
                <w:sz w:val="24"/>
                <w:szCs w:val="24"/>
              </w:rPr>
            </w:pPr>
            <w:r w:rsidRPr="0073219C">
              <w:rPr>
                <w:rFonts w:ascii="Tahoma" w:hAnsi="Tahoma" w:cs="Tahoma"/>
                <w:b/>
                <w:color w:val="FFFFFF" w:themeColor="background1"/>
                <w:sz w:val="24"/>
                <w:szCs w:val="24"/>
              </w:rPr>
              <w:t>Osaamistavoitteet</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1. vuosi</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Maatalouden perusteet ja oppimisen taidot (60 op)</w:t>
            </w:r>
          </w:p>
          <w:p w:rsidR="0073219C" w:rsidRPr="0073219C" w:rsidRDefault="0073219C" w:rsidP="0073219C">
            <w:pPr>
              <w:spacing w:after="0"/>
              <w:rPr>
                <w:rFonts w:ascii="Tahoma" w:hAnsi="Tahoma" w:cs="Tahoma"/>
                <w:i/>
                <w:sz w:val="20"/>
                <w:szCs w:val="20"/>
              </w:rPr>
            </w:pPr>
            <w:proofErr w:type="gramStart"/>
            <w:r w:rsidRPr="0073219C">
              <w:rPr>
                <w:rFonts w:ascii="Tahoma" w:hAnsi="Tahoma" w:cs="Tahoma"/>
                <w:i/>
                <w:sz w:val="20"/>
                <w:szCs w:val="20"/>
              </w:rPr>
              <w:t>Maataloutta oppimaan (25 op)</w:t>
            </w:r>
            <w:r w:rsidRPr="0073219C">
              <w:rPr>
                <w:rFonts w:ascii="Tahoma" w:hAnsi="Tahoma" w:cs="Tahoma"/>
                <w:i/>
                <w:sz w:val="20"/>
                <w:szCs w:val="20"/>
              </w:rPr>
              <w:br/>
              <w:t>Maatilan perusprosesseja (10 op)</w:t>
            </w:r>
            <w:proofErr w:type="gramEnd"/>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Kevät ja kesä maatilalla (15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 xml:space="preserve">Saat opiskelussa tarvitsemasi </w:t>
            </w:r>
            <w:proofErr w:type="spellStart"/>
            <w:r w:rsidRPr="0073219C">
              <w:rPr>
                <w:rFonts w:ascii="Tahoma" w:hAnsi="Tahoma" w:cs="Tahoma"/>
                <w:sz w:val="20"/>
                <w:szCs w:val="20"/>
              </w:rPr>
              <w:t>oppimis</w:t>
            </w:r>
            <w:proofErr w:type="spellEnd"/>
            <w:r w:rsidRPr="0073219C">
              <w:rPr>
                <w:rFonts w:ascii="Tahoma" w:hAnsi="Tahoma" w:cs="Tahoma"/>
                <w:sz w:val="20"/>
                <w:szCs w:val="20"/>
              </w:rPr>
              <w:t>- ja tiedonhankintataidot ja vahvistat osaamistasi tietotekniikassa sekä kieli-, viestintä- ja vuorovaikutustaidoissa. Perehdyt maatalouden perusteisiin sekä teoriassa että käytännössä. Saat käsityksen alan ammatillisesta toimintaympäristöstä.</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2. vuosi</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Maaseudun elinkeinot – Suomi osana Eurooppaa (60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Maatilan syksy – vuoden tulos (15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Tuotantoprosessit ja toimintamallit (15 op)</w:t>
            </w:r>
            <w:r w:rsidRPr="0073219C">
              <w:rPr>
                <w:rFonts w:ascii="Tahoma" w:hAnsi="Tahoma" w:cs="Tahoma"/>
                <w:i/>
                <w:sz w:val="20"/>
                <w:szCs w:val="20"/>
              </w:rPr>
              <w:br/>
              <w:t>Kansainvälinen toimintaympäristö (30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Hyödynnät tietojasi ja taitojasi vaativienkin ammatillisten ongelmien ratkaisemisessa. Itsearviointitaitosi kehittyvät. Tietämyksesi maaseutuelinkeinoista, mm. maatilayrittämisestä ja maatilan biologisista ja teknologisista prosesseista syvenee ja ammatillinen näkemyksesi ja kiinnostuksesi laajenee kansainväliseksi. Löydät ammatillisen kiinnostuksen kohteesi.</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 xml:space="preserve">3. vuosi </w:t>
            </w:r>
          </w:p>
        </w:tc>
        <w:tc>
          <w:tcPr>
            <w:tcW w:w="4253" w:type="dxa"/>
          </w:tcPr>
          <w:p w:rsidR="0073219C" w:rsidRPr="0073219C" w:rsidRDefault="0073219C" w:rsidP="0073219C">
            <w:pPr>
              <w:spacing w:after="0"/>
              <w:rPr>
                <w:rFonts w:ascii="Tahoma" w:hAnsi="Tahoma" w:cs="Tahoma"/>
                <w:b/>
                <w:i/>
                <w:sz w:val="20"/>
                <w:szCs w:val="20"/>
              </w:rPr>
            </w:pPr>
            <w:r w:rsidRPr="0073219C">
              <w:rPr>
                <w:rFonts w:ascii="Tahoma" w:hAnsi="Tahoma" w:cs="Tahoma"/>
                <w:b/>
                <w:i/>
                <w:sz w:val="20"/>
                <w:szCs w:val="20"/>
              </w:rPr>
              <w:t>Yrittäjyys, työelämä ja verkostot (60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Alan kehittämismahdollisuudet (30 op)</w:t>
            </w:r>
            <w:r w:rsidRPr="0073219C">
              <w:rPr>
                <w:rFonts w:ascii="Tahoma" w:hAnsi="Tahoma" w:cs="Tahoma"/>
                <w:i/>
                <w:sz w:val="20"/>
                <w:szCs w:val="20"/>
              </w:rPr>
              <w:br/>
              <w:t>Tutkimus yrittäjän tukena (20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Toimijana työelämässä (10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Kehityt kriittisessä ammatillisessa ajattelussa ja itseohjautuvuudessa. Saat valmiuksia ja työkaluja suunnitella ja johtaa maatilakokonaisuutta tai muuta yritystä sekä toimia verkostomaisesti. Syvennät osaamistasi valitsemassasi erityisalueessa.</w:t>
            </w:r>
          </w:p>
        </w:tc>
      </w:tr>
      <w:tr w:rsidR="0073219C" w:rsidTr="00E27D12">
        <w:tc>
          <w:tcPr>
            <w:tcW w:w="1204" w:type="dxa"/>
          </w:tcPr>
          <w:p w:rsidR="0073219C" w:rsidRPr="0073219C" w:rsidRDefault="0073219C" w:rsidP="0073219C">
            <w:pPr>
              <w:spacing w:after="0"/>
              <w:rPr>
                <w:rFonts w:ascii="Tahoma" w:hAnsi="Tahoma" w:cs="Tahoma"/>
                <w:b/>
                <w:sz w:val="20"/>
                <w:szCs w:val="20"/>
              </w:rPr>
            </w:pPr>
            <w:r w:rsidRPr="0073219C">
              <w:rPr>
                <w:rFonts w:ascii="Tahoma" w:hAnsi="Tahoma" w:cs="Tahoma"/>
                <w:b/>
                <w:sz w:val="20"/>
                <w:szCs w:val="20"/>
              </w:rPr>
              <w:t>4. vuosi</w:t>
            </w:r>
          </w:p>
        </w:tc>
        <w:tc>
          <w:tcPr>
            <w:tcW w:w="4253" w:type="dxa"/>
          </w:tcPr>
          <w:p w:rsidR="0073219C" w:rsidRPr="0073219C" w:rsidRDefault="0073219C" w:rsidP="0073219C">
            <w:pPr>
              <w:spacing w:after="0"/>
              <w:rPr>
                <w:rFonts w:ascii="Tahoma" w:hAnsi="Tahoma" w:cs="Tahoma"/>
                <w:i/>
                <w:sz w:val="20"/>
                <w:szCs w:val="20"/>
              </w:rPr>
            </w:pPr>
            <w:r w:rsidRPr="0073219C">
              <w:rPr>
                <w:rFonts w:ascii="Tahoma" w:hAnsi="Tahoma" w:cs="Tahoma"/>
                <w:b/>
                <w:i/>
                <w:sz w:val="20"/>
                <w:szCs w:val="20"/>
              </w:rPr>
              <w:t>Maaseudun asiantuntijaksi (60 op)</w:t>
            </w:r>
            <w:r w:rsidRPr="0073219C">
              <w:rPr>
                <w:rFonts w:ascii="Tahoma" w:hAnsi="Tahoma" w:cs="Tahoma"/>
                <w:b/>
                <w:i/>
                <w:sz w:val="20"/>
                <w:szCs w:val="20"/>
              </w:rPr>
              <w:br/>
            </w:r>
            <w:r w:rsidRPr="0073219C">
              <w:rPr>
                <w:rFonts w:ascii="Tahoma" w:hAnsi="Tahoma" w:cs="Tahoma"/>
                <w:i/>
                <w:sz w:val="20"/>
                <w:szCs w:val="20"/>
              </w:rPr>
              <w:t xml:space="preserve"> Asiantuntijan roolit (10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Asiantuntija vaikuttajana (20 op)</w:t>
            </w:r>
          </w:p>
          <w:p w:rsidR="0073219C" w:rsidRPr="0073219C" w:rsidRDefault="0073219C" w:rsidP="0073219C">
            <w:pPr>
              <w:spacing w:after="0"/>
              <w:rPr>
                <w:rFonts w:ascii="Tahoma" w:hAnsi="Tahoma" w:cs="Tahoma"/>
                <w:i/>
                <w:sz w:val="20"/>
                <w:szCs w:val="20"/>
              </w:rPr>
            </w:pPr>
            <w:r w:rsidRPr="0073219C">
              <w:rPr>
                <w:rFonts w:ascii="Tahoma" w:hAnsi="Tahoma" w:cs="Tahoma"/>
                <w:i/>
                <w:sz w:val="20"/>
                <w:szCs w:val="20"/>
              </w:rPr>
              <w:t>Tulevaisuuden haasteita (30 op)</w:t>
            </w:r>
          </w:p>
        </w:tc>
        <w:tc>
          <w:tcPr>
            <w:tcW w:w="4961" w:type="dxa"/>
          </w:tcPr>
          <w:p w:rsidR="0073219C" w:rsidRPr="0073219C" w:rsidRDefault="0073219C" w:rsidP="0073219C">
            <w:pPr>
              <w:spacing w:after="0"/>
              <w:rPr>
                <w:rFonts w:ascii="Tahoma" w:hAnsi="Tahoma" w:cs="Tahoma"/>
                <w:sz w:val="20"/>
                <w:szCs w:val="20"/>
              </w:rPr>
            </w:pPr>
            <w:r w:rsidRPr="0073219C">
              <w:rPr>
                <w:rFonts w:ascii="Tahoma" w:hAnsi="Tahoma" w:cs="Tahoma"/>
                <w:sz w:val="20"/>
                <w:szCs w:val="20"/>
              </w:rPr>
              <w:t>Otat haltuun valitsemasi ammatillisen erityisalueen ja saat kokonaiskäsityksen maaseudun toimintaympäristöstä. Vahvistat verkostotyö- ja vaikuttamisosaamistasi. Opit käyttämään ja soveltamaan tutkimus- ja kehittämismenetelmiä sekä tuottamaan uutta tietoa mm. opinnäytetyössäsi.</w:t>
            </w:r>
          </w:p>
        </w:tc>
      </w:tr>
    </w:tbl>
    <w:p w:rsidR="00C339EE" w:rsidRDefault="00C339EE"/>
    <w:sectPr w:rsidR="00C339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9C"/>
    <w:rsid w:val="0073219C"/>
    <w:rsid w:val="00A45106"/>
    <w:rsid w:val="00C339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D05E0-A116-4C8A-B4D9-6C96B989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3219C"/>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1646</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2</cp:revision>
  <dcterms:created xsi:type="dcterms:W3CDTF">2016-01-28T13:47:00Z</dcterms:created>
  <dcterms:modified xsi:type="dcterms:W3CDTF">2016-01-28T13:47:00Z</dcterms:modified>
</cp:coreProperties>
</file>