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D74857" w:rsidRPr="00595FDF" w:rsidTr="004833D4">
        <w:tc>
          <w:tcPr>
            <w:tcW w:w="2093" w:type="dxa"/>
            <w:shd w:val="clear" w:color="auto" w:fill="31A3B5"/>
          </w:tcPr>
          <w:p w:rsidR="00D74857" w:rsidRPr="00595FDF" w:rsidRDefault="00D74857" w:rsidP="004833D4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31A3B5"/>
          </w:tcPr>
          <w:p w:rsidR="00D74857" w:rsidRPr="00595FDF" w:rsidRDefault="00D74857" w:rsidP="004833D4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 w:rsidRPr="00595FDF">
              <w:rPr>
                <w:rFonts w:cs="Calibri"/>
                <w:b/>
                <w:color w:val="FFFFFF"/>
                <w:sz w:val="28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D74857" w:rsidRPr="00595FDF" w:rsidRDefault="00D74857" w:rsidP="004833D4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 w:rsidRPr="00595FDF">
              <w:rPr>
                <w:rFonts w:cs="Calibri"/>
                <w:b/>
                <w:color w:val="FFFFFF"/>
                <w:sz w:val="28"/>
                <w:szCs w:val="20"/>
              </w:rPr>
              <w:t>Luonnehdinta opinnoista lyhyesti</w:t>
            </w:r>
          </w:p>
        </w:tc>
      </w:tr>
      <w:tr w:rsidR="00D74857" w:rsidRPr="00595FDF" w:rsidTr="004833D4">
        <w:tc>
          <w:tcPr>
            <w:tcW w:w="2093" w:type="dxa"/>
          </w:tcPr>
          <w:p w:rsidR="00D74857" w:rsidRPr="00595FDF" w:rsidRDefault="00D74857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 xml:space="preserve">Perusopinnot  </w:t>
            </w:r>
            <w:r w:rsidRPr="00595FDF">
              <w:rPr>
                <w:rFonts w:cs="Calibri"/>
                <w:b/>
                <w:szCs w:val="20"/>
              </w:rPr>
              <w:tab/>
            </w:r>
          </w:p>
        </w:tc>
        <w:tc>
          <w:tcPr>
            <w:tcW w:w="1134" w:type="dxa"/>
          </w:tcPr>
          <w:p w:rsidR="00D74857" w:rsidRPr="00595FDF" w:rsidRDefault="00FB1742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35</w:t>
            </w:r>
            <w:r w:rsidR="00A424AF">
              <w:rPr>
                <w:rFonts w:cs="Calibri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D74857" w:rsidRPr="00D74857" w:rsidRDefault="00D74857" w:rsidP="000B3912">
            <w:pPr>
              <w:spacing w:before="240" w:line="240" w:lineRule="auto"/>
              <w:jc w:val="both"/>
              <w:rPr>
                <w:rFonts w:asciiTheme="minorHAnsi" w:hAnsiTheme="minorHAnsi" w:cstheme="minorHAnsi"/>
              </w:rPr>
            </w:pPr>
            <w:r w:rsidRPr="00D74857">
              <w:rPr>
                <w:rFonts w:asciiTheme="minorHAnsi" w:hAnsiTheme="minorHAnsi" w:cstheme="minorHAnsi"/>
              </w:rPr>
              <w:t>Perusopinnoissa opiskelija perehtyy opiskeluun ammattikorkeakoulussa ja sairaanhoitajakoulutuksessa</w:t>
            </w:r>
            <w:r w:rsidR="003B7220">
              <w:rPr>
                <w:rFonts w:asciiTheme="minorHAnsi" w:hAnsiTheme="minorHAnsi" w:cstheme="minorHAnsi"/>
              </w:rPr>
              <w:t>.</w:t>
            </w:r>
            <w:r w:rsidRPr="00D74857">
              <w:rPr>
                <w:rFonts w:asciiTheme="minorHAnsi" w:hAnsiTheme="minorHAnsi" w:cstheme="minorHAnsi"/>
              </w:rPr>
              <w:t xml:space="preserve"> </w:t>
            </w:r>
            <w:r w:rsidR="003B7220" w:rsidRPr="003B7220">
              <w:rPr>
                <w:rFonts w:asciiTheme="minorHAnsi" w:hAnsiTheme="minorHAnsi" w:cstheme="minorHAnsi"/>
              </w:rPr>
              <w:t>Opiskelija perehtyy tehtäväalueensa yleisiin teoreettisiin perusteisiin ja viestintään sekä hankkii asetuksessa vaadittavan kielitaidon.</w:t>
            </w:r>
          </w:p>
        </w:tc>
      </w:tr>
      <w:tr w:rsidR="00D74857" w:rsidRPr="00595FDF" w:rsidTr="004833D4">
        <w:tc>
          <w:tcPr>
            <w:tcW w:w="2093" w:type="dxa"/>
          </w:tcPr>
          <w:p w:rsidR="003B7220" w:rsidRPr="00595FDF" w:rsidRDefault="00D74857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>Ammattiopinnot</w:t>
            </w:r>
            <w:r w:rsidR="003B7220">
              <w:rPr>
                <w:rFonts w:cs="Calibri"/>
                <w:b/>
                <w:szCs w:val="20"/>
              </w:rPr>
              <w:t>: teoria</w:t>
            </w:r>
          </w:p>
        </w:tc>
        <w:tc>
          <w:tcPr>
            <w:tcW w:w="1134" w:type="dxa"/>
          </w:tcPr>
          <w:p w:rsidR="00D74857" w:rsidRDefault="009C0443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60 </w:t>
            </w:r>
            <w:r w:rsidR="00A424AF">
              <w:rPr>
                <w:rFonts w:cs="Calibri"/>
                <w:szCs w:val="20"/>
              </w:rPr>
              <w:t xml:space="preserve">op </w:t>
            </w:r>
          </w:p>
          <w:p w:rsidR="00FB513E" w:rsidRDefault="00FB513E" w:rsidP="000B3912">
            <w:pPr>
              <w:spacing w:line="240" w:lineRule="auto"/>
              <w:rPr>
                <w:rFonts w:cs="Calibri"/>
                <w:szCs w:val="20"/>
              </w:rPr>
            </w:pPr>
          </w:p>
          <w:p w:rsidR="00FB513E" w:rsidRPr="00595FDF" w:rsidRDefault="00FB513E" w:rsidP="000B3912">
            <w:pPr>
              <w:spacing w:line="240" w:lineRule="auto"/>
              <w:rPr>
                <w:rFonts w:cs="Calibri"/>
                <w:szCs w:val="20"/>
              </w:rPr>
            </w:pPr>
          </w:p>
        </w:tc>
        <w:tc>
          <w:tcPr>
            <w:tcW w:w="6551" w:type="dxa"/>
          </w:tcPr>
          <w:p w:rsidR="00D74857" w:rsidRPr="00D74857" w:rsidRDefault="003B7220" w:rsidP="000B3912">
            <w:pPr>
              <w:spacing w:before="240" w:line="240" w:lineRule="auto"/>
              <w:jc w:val="both"/>
              <w:rPr>
                <w:rFonts w:asciiTheme="minorHAnsi" w:hAnsiTheme="minorHAnsi" w:cstheme="minorHAnsi"/>
              </w:rPr>
            </w:pPr>
            <w:r w:rsidRPr="003B7220">
              <w:rPr>
                <w:rFonts w:asciiTheme="minorHAnsi" w:hAnsiTheme="minorHAnsi" w:cstheme="minorHAnsi"/>
              </w:rPr>
              <w:t>Ammattiopinnoissa opiskelija perehtyy sairaanhoitajan tehtäväalueen keskeisiin ongelmakokonaisuuksiin ja sovellutuksiin sekä niiden tieteellisiin perusteisiin, jotta hän kykenee valmistuttuaan työskentelemään itsenäisesti hoitotyön asiantuntijana, esimiestehtävissä, kehitystehtävissä ja yrittäjänä.</w:t>
            </w:r>
          </w:p>
        </w:tc>
      </w:tr>
      <w:tr w:rsidR="00D74857" w:rsidRPr="00595FDF" w:rsidTr="004833D4">
        <w:tc>
          <w:tcPr>
            <w:tcW w:w="2093" w:type="dxa"/>
          </w:tcPr>
          <w:p w:rsidR="00D74857" w:rsidRDefault="003B7220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Ammattiopinnot: h</w:t>
            </w:r>
            <w:r w:rsidR="00D74857" w:rsidRPr="00595FDF">
              <w:rPr>
                <w:rFonts w:cs="Calibri"/>
                <w:b/>
                <w:szCs w:val="20"/>
              </w:rPr>
              <w:t>arjoittelu</w:t>
            </w:r>
          </w:p>
          <w:p w:rsidR="00ED03BF" w:rsidRDefault="00ED03BF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</w:p>
          <w:p w:rsidR="00ED03BF" w:rsidRPr="00595FDF" w:rsidRDefault="00ED03BF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</w:p>
        </w:tc>
        <w:tc>
          <w:tcPr>
            <w:tcW w:w="1134" w:type="dxa"/>
          </w:tcPr>
          <w:p w:rsidR="00FB513E" w:rsidRDefault="00FB513E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75 op</w:t>
            </w:r>
          </w:p>
          <w:p w:rsidR="00FB513E" w:rsidRPr="00595FDF" w:rsidRDefault="00FB513E" w:rsidP="000B3912">
            <w:pPr>
              <w:spacing w:line="240" w:lineRule="auto"/>
              <w:rPr>
                <w:rFonts w:cs="Calibri"/>
                <w:szCs w:val="20"/>
              </w:rPr>
            </w:pPr>
          </w:p>
        </w:tc>
        <w:tc>
          <w:tcPr>
            <w:tcW w:w="6551" w:type="dxa"/>
          </w:tcPr>
          <w:p w:rsidR="004833D4" w:rsidRPr="00FB1742" w:rsidRDefault="00D74857" w:rsidP="000B3912">
            <w:pPr>
              <w:autoSpaceDE w:val="0"/>
              <w:autoSpaceDN w:val="0"/>
              <w:spacing w:before="240" w:line="240" w:lineRule="auto"/>
              <w:jc w:val="both"/>
              <w:rPr>
                <w:rFonts w:cs="Calibri"/>
                <w:iCs/>
                <w:szCs w:val="20"/>
              </w:rPr>
            </w:pPr>
            <w:r w:rsidRPr="00FB513E">
              <w:rPr>
                <w:rFonts w:cs="Calibri"/>
                <w:iCs/>
                <w:szCs w:val="20"/>
              </w:rPr>
              <w:t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</w:t>
            </w:r>
            <w:r w:rsidR="00A424AF">
              <w:rPr>
                <w:rFonts w:cs="Calibri"/>
                <w:iCs/>
                <w:szCs w:val="20"/>
              </w:rPr>
              <w:t>.</w:t>
            </w:r>
          </w:p>
        </w:tc>
      </w:tr>
      <w:tr w:rsidR="00FB1742" w:rsidRPr="00595FDF" w:rsidTr="004833D4">
        <w:tc>
          <w:tcPr>
            <w:tcW w:w="2093" w:type="dxa"/>
          </w:tcPr>
          <w:p w:rsidR="00FB1742" w:rsidRPr="00595FDF" w:rsidRDefault="00FB1742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Ammattiopinnot: valinnaiset opinnot</w:t>
            </w:r>
          </w:p>
        </w:tc>
        <w:tc>
          <w:tcPr>
            <w:tcW w:w="1134" w:type="dxa"/>
          </w:tcPr>
          <w:p w:rsidR="00FB1742" w:rsidRPr="00595FDF" w:rsidRDefault="009C0443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25</w:t>
            </w:r>
            <w:r w:rsidR="00FB1742">
              <w:rPr>
                <w:rFonts w:cs="Calibri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FB1742" w:rsidRPr="00FB513E" w:rsidRDefault="00FB1742" w:rsidP="009C0443">
            <w:pPr>
              <w:spacing w:before="240" w:line="240" w:lineRule="auto"/>
              <w:jc w:val="both"/>
            </w:pPr>
            <w:r>
              <w:t xml:space="preserve">Valinnaisissa hoitotyön ammattiopinnoissa opiskelija laajentaa ja syventää hoitotyön osaamistaan valitsemillaan </w:t>
            </w:r>
            <w:r w:rsidR="005A1E63">
              <w:t>opinnoilla. Opi</w:t>
            </w:r>
            <w:r w:rsidR="009C0443">
              <w:t>skelija valitsee opinnot oman tutkinto-ohjelman</w:t>
            </w:r>
            <w:r w:rsidR="005A1E63">
              <w:t xml:space="preserve">, </w:t>
            </w:r>
            <w:r w:rsidR="009C0443">
              <w:t xml:space="preserve">muiden tutkinto-ohjelmien, </w:t>
            </w:r>
            <w:r w:rsidR="005A1E63">
              <w:t>Savonian paino</w:t>
            </w:r>
            <w:r w:rsidR="009C0443">
              <w:t>alojen</w:t>
            </w:r>
            <w:r w:rsidR="005A1E63">
              <w:t xml:space="preserve"> tai muusta tarjonnasta. </w:t>
            </w:r>
          </w:p>
        </w:tc>
      </w:tr>
      <w:tr w:rsidR="00D74857" w:rsidRPr="00595FDF" w:rsidTr="004833D4">
        <w:tc>
          <w:tcPr>
            <w:tcW w:w="2093" w:type="dxa"/>
          </w:tcPr>
          <w:p w:rsidR="00D74857" w:rsidRPr="00595FDF" w:rsidRDefault="00D74857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>Opinnäytetyö</w:t>
            </w:r>
          </w:p>
          <w:p w:rsidR="00D74857" w:rsidRPr="00595FDF" w:rsidRDefault="00D74857" w:rsidP="000B3912">
            <w:pPr>
              <w:spacing w:before="24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D74857" w:rsidRPr="00595FDF" w:rsidRDefault="00D74857" w:rsidP="000B3912">
            <w:pPr>
              <w:spacing w:before="240" w:line="240" w:lineRule="auto"/>
              <w:rPr>
                <w:rFonts w:cs="Calibri"/>
                <w:szCs w:val="20"/>
              </w:rPr>
            </w:pPr>
            <w:r w:rsidRPr="00595FDF">
              <w:rPr>
                <w:rFonts w:cs="Calibri"/>
                <w:szCs w:val="20"/>
              </w:rPr>
              <w:t>15 op</w:t>
            </w:r>
          </w:p>
        </w:tc>
        <w:tc>
          <w:tcPr>
            <w:tcW w:w="6551" w:type="dxa"/>
          </w:tcPr>
          <w:p w:rsidR="005A1E63" w:rsidRDefault="00D74857" w:rsidP="000B3912">
            <w:pPr>
              <w:spacing w:before="240" w:after="0" w:line="240" w:lineRule="auto"/>
            </w:pPr>
            <w:r w:rsidRPr="00FB513E">
              <w:t>Opinnäytetyö on opiskelijan työelämäläheinen oppimisprosessi, jota asiantuntijat tukevat, ohjaavat ja arvioivat. Tavoitteena on, että opiskelija kehittää työelämää opinnäytetyöllään samalla kun prosessi sy</w:t>
            </w:r>
            <w:r w:rsidR="00FB513E" w:rsidRPr="00FB513E">
              <w:t>ventää hänen </w:t>
            </w:r>
            <w:r w:rsidRPr="00FB513E">
              <w:t>asiantuntijuuttaan valitussa aiheessa.  Opinnäytetyöt voivat olla tutkimuksellisia, toiminnallisia tai subjektiivista luovaa ilmaisua. Opinnäytetyön</w:t>
            </w:r>
            <w:r w:rsidR="005A1E63">
              <w:t xml:space="preserve"> tekemisessä opiskelija vastaa</w:t>
            </w:r>
          </w:p>
          <w:p w:rsidR="005A1E63" w:rsidRDefault="00D74857" w:rsidP="000B3912">
            <w:pPr>
              <w:pStyle w:val="Luettelokappale"/>
              <w:numPr>
                <w:ilvl w:val="0"/>
                <w:numId w:val="3"/>
              </w:numPr>
              <w:spacing w:line="240" w:lineRule="auto"/>
              <w:ind w:left="460" w:hanging="284"/>
            </w:pPr>
            <w:r w:rsidRPr="00FB513E">
              <w:t>opinnäytetyöidean ja työelämäyhteyden hakemisesta</w:t>
            </w:r>
          </w:p>
          <w:p w:rsidR="005A1E63" w:rsidRDefault="00D74857" w:rsidP="000B3912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459" w:hanging="284"/>
            </w:pPr>
            <w:r w:rsidRPr="00FB513E">
              <w:t>opinnäytetyön tehtäväalueeseen perehtymisestä ja tehtävän asettamisesta</w:t>
            </w:r>
          </w:p>
          <w:p w:rsidR="005A1E63" w:rsidRDefault="00D74857" w:rsidP="000B3912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459" w:hanging="284"/>
            </w:pPr>
            <w:r w:rsidRPr="00FB513E">
              <w:t>asetetun tehtävän suorittamisesta ja raportoinnista</w:t>
            </w:r>
          </w:p>
          <w:p w:rsidR="00D74857" w:rsidRPr="00FB513E" w:rsidRDefault="00D74857" w:rsidP="000B3912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459" w:hanging="284"/>
            </w:pPr>
            <w:r w:rsidRPr="00FB513E">
              <w:t>opinnäytetyön viimeistelystä ja tiedotusmateriaalin laatimisesta.</w:t>
            </w:r>
          </w:p>
          <w:p w:rsidR="00D74857" w:rsidRPr="00CB21C4" w:rsidRDefault="00D74857" w:rsidP="000B3912">
            <w:pPr>
              <w:spacing w:line="240" w:lineRule="auto"/>
              <w:rPr>
                <w:color w:val="4BACC6"/>
              </w:rPr>
            </w:pPr>
            <w:r w:rsidRPr="00FB513E">
              <w:t>Opinnäytetyö tarjoaa joustavan portin siirtyä työelämään ja hyvän mahdollisuuden verkottua omalla alalla.</w:t>
            </w:r>
          </w:p>
        </w:tc>
      </w:tr>
      <w:tr w:rsidR="00ED03BF" w:rsidRPr="00595FDF" w:rsidTr="000B3912">
        <w:trPr>
          <w:trHeight w:val="611"/>
        </w:trPr>
        <w:tc>
          <w:tcPr>
            <w:tcW w:w="2093" w:type="dxa"/>
          </w:tcPr>
          <w:p w:rsidR="00ED03BF" w:rsidRDefault="00ED03BF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Yhteensä</w:t>
            </w:r>
          </w:p>
        </w:tc>
        <w:tc>
          <w:tcPr>
            <w:tcW w:w="1134" w:type="dxa"/>
          </w:tcPr>
          <w:p w:rsidR="00ED03BF" w:rsidRDefault="00ED03BF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210 op</w:t>
            </w:r>
          </w:p>
        </w:tc>
        <w:tc>
          <w:tcPr>
            <w:tcW w:w="6551" w:type="dxa"/>
          </w:tcPr>
          <w:p w:rsidR="00ED03BF" w:rsidRPr="00FB513E" w:rsidRDefault="00ED03BF" w:rsidP="000B3912">
            <w:pPr>
              <w:spacing w:before="24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48568B" w:rsidRDefault="0048568B"/>
    <w:p w:rsidR="00B42E20" w:rsidRDefault="00B42E20"/>
    <w:sectPr w:rsidR="00B42E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4C74"/>
    <w:multiLevelType w:val="hybridMultilevel"/>
    <w:tmpl w:val="19A41490"/>
    <w:lvl w:ilvl="0" w:tplc="2B42E2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95914"/>
    <w:multiLevelType w:val="hybridMultilevel"/>
    <w:tmpl w:val="10B2FB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D5D5C"/>
    <w:multiLevelType w:val="hybridMultilevel"/>
    <w:tmpl w:val="D584C6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57"/>
    <w:rsid w:val="0004298B"/>
    <w:rsid w:val="0006015F"/>
    <w:rsid w:val="00087C14"/>
    <w:rsid w:val="000B3912"/>
    <w:rsid w:val="001C07FD"/>
    <w:rsid w:val="00273816"/>
    <w:rsid w:val="003B7220"/>
    <w:rsid w:val="004833D4"/>
    <w:rsid w:val="0048568B"/>
    <w:rsid w:val="005A1E63"/>
    <w:rsid w:val="005F4E72"/>
    <w:rsid w:val="006266CB"/>
    <w:rsid w:val="00801D20"/>
    <w:rsid w:val="008032FD"/>
    <w:rsid w:val="0088302E"/>
    <w:rsid w:val="008A2726"/>
    <w:rsid w:val="008B231D"/>
    <w:rsid w:val="00914501"/>
    <w:rsid w:val="009B0093"/>
    <w:rsid w:val="009C0443"/>
    <w:rsid w:val="009F1817"/>
    <w:rsid w:val="00A424AF"/>
    <w:rsid w:val="00B26489"/>
    <w:rsid w:val="00B42E20"/>
    <w:rsid w:val="00C32FA8"/>
    <w:rsid w:val="00D0445B"/>
    <w:rsid w:val="00D74857"/>
    <w:rsid w:val="00ED03BF"/>
    <w:rsid w:val="00FB1742"/>
    <w:rsid w:val="00F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560F4-50DE-4DEA-956E-FE8BEB76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74857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74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Savonia-amk</dc:creator>
  <cp:lastModifiedBy>Marja Kopeli</cp:lastModifiedBy>
  <cp:revision>2</cp:revision>
  <dcterms:created xsi:type="dcterms:W3CDTF">2015-09-15T11:50:00Z</dcterms:created>
  <dcterms:modified xsi:type="dcterms:W3CDTF">2015-09-15T11:50:00Z</dcterms:modified>
</cp:coreProperties>
</file>