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FE64B3" w:rsidRDefault="00FE64B3" w:rsidP="00C433C3">
      <w:pPr>
        <w:spacing w:after="0" w:line="24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Ravintolapalvelun perusteet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C433C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02C06" w:rsidRPr="00C433C3" w:rsidRDefault="00D133D0" w:rsidP="00C433C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hAnsi="Tahoma" w:cs="Tahoma"/>
                <w:sz w:val="20"/>
                <w:szCs w:val="20"/>
              </w:rPr>
              <w:t xml:space="preserve">Opiskelija tuntee ravitsemisalan rakenteet ja sidosryhmät sekä keskeiset kotimaiset ja kansainväliset toimijat. Opiskelija tunnistaa erilaisia liiketoimintakonsepteja ja niiden toimintaperiaatteita. </w:t>
            </w:r>
            <w:r w:rsidR="00002C06" w:rsidRPr="00C433C3">
              <w:rPr>
                <w:rFonts w:ascii="Tahoma" w:hAnsi="Tahoma" w:cs="Tahoma"/>
                <w:sz w:val="20"/>
                <w:szCs w:val="20"/>
              </w:rPr>
              <w:t>Opiskelija ymmärtää</w:t>
            </w:r>
            <w:r w:rsidRPr="00C433C3">
              <w:rPr>
                <w:rFonts w:ascii="Tahoma" w:hAnsi="Tahoma" w:cs="Tahoma"/>
                <w:sz w:val="20"/>
                <w:szCs w:val="20"/>
              </w:rPr>
              <w:t xml:space="preserve"> asiakaslähtöisen palvelun keskeiset käsitteet ja niiden merkityksen ravitsemisalan työssä onnistumiselle.</w:t>
            </w:r>
            <w:r w:rsidR="002A47E2" w:rsidRPr="00C433C3">
              <w:rPr>
                <w:rFonts w:ascii="Tahoma" w:hAnsi="Tahoma" w:cs="Tahoma"/>
                <w:sz w:val="20"/>
                <w:szCs w:val="20"/>
              </w:rPr>
              <w:t xml:space="preserve"> Opiskelija hallitsee konkreettisen asiakaspalvelun ja siihen liittyviä kädentaitoja vaativia työtehtäviä. </w:t>
            </w:r>
            <w:r w:rsidRPr="00C433C3">
              <w:rPr>
                <w:rFonts w:ascii="Tahoma" w:hAnsi="Tahoma" w:cs="Tahoma"/>
                <w:sz w:val="20"/>
                <w:szCs w:val="20"/>
              </w:rPr>
              <w:t xml:space="preserve"> Hän osaa myydä, suositella ja tarjoilla yksittäisiä ruo</w:t>
            </w:r>
            <w:r w:rsidR="00002C06" w:rsidRPr="00C433C3">
              <w:rPr>
                <w:rFonts w:ascii="Tahoma" w:hAnsi="Tahoma" w:cs="Tahoma"/>
                <w:sz w:val="20"/>
                <w:szCs w:val="20"/>
              </w:rPr>
              <w:t xml:space="preserve">ka- ja juomatuotteita. Hän </w:t>
            </w:r>
            <w:r w:rsidRPr="00C433C3">
              <w:rPr>
                <w:rFonts w:ascii="Tahoma" w:hAnsi="Tahoma" w:cs="Tahoma"/>
                <w:sz w:val="20"/>
                <w:szCs w:val="20"/>
              </w:rPr>
              <w:t xml:space="preserve">tunnistaa </w:t>
            </w:r>
            <w:r w:rsidR="00002C06" w:rsidRPr="00C433C3">
              <w:rPr>
                <w:rFonts w:ascii="Tahoma" w:hAnsi="Tahoma" w:cs="Tahoma"/>
                <w:sz w:val="20"/>
                <w:szCs w:val="20"/>
              </w:rPr>
              <w:t>maksuvälineihin lii</w:t>
            </w:r>
            <w:r w:rsidRPr="00C433C3">
              <w:rPr>
                <w:rFonts w:ascii="Tahoma" w:hAnsi="Tahoma" w:cs="Tahoma"/>
                <w:sz w:val="20"/>
                <w:szCs w:val="20"/>
              </w:rPr>
              <w:t>ttyviä riskejä sekä osaa toimia hyvien eet</w:t>
            </w:r>
            <w:r w:rsidR="00002C06" w:rsidRPr="00C433C3">
              <w:rPr>
                <w:rFonts w:ascii="Tahoma" w:hAnsi="Tahoma" w:cs="Tahoma"/>
                <w:sz w:val="20"/>
                <w:szCs w:val="20"/>
              </w:rPr>
              <w:t>tisten periaatteiden mukaisesti.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C433C3" w:rsidRDefault="00FE64B3" w:rsidP="00D133D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  <w:t>Ravintolaelinkeino ja erilaiset konseptit</w:t>
            </w:r>
          </w:p>
          <w:p w:rsidR="00C433C3" w:rsidRPr="00C433C3" w:rsidRDefault="00002C06" w:rsidP="00D133D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  <w:t>Ravintolatoiminnan ja anniskelun historiaa</w:t>
            </w:r>
          </w:p>
          <w:p w:rsidR="00002C06" w:rsidRPr="00C433C3" w:rsidRDefault="00C433C3" w:rsidP="00D133D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  <w:t>Ravintolan tapakulttuuri</w:t>
            </w:r>
            <w:r w:rsidR="00002C06" w:rsidRPr="00C433C3"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FE64B3" w:rsidRPr="00C433C3" w:rsidRDefault="00FE64B3" w:rsidP="00FE64B3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Theme="minorEastAsia" w:hAnsi="Tahoma" w:cs="Tahoma"/>
                <w:sz w:val="20"/>
                <w:szCs w:val="20"/>
                <w:lang w:eastAsia="fi-FI"/>
              </w:rPr>
              <w:t>Asiakkaiden vaikutus palvelutapahtumaan</w:t>
            </w:r>
          </w:p>
          <w:p w:rsidR="00FE64B3" w:rsidRPr="00C433C3" w:rsidRDefault="00D133D0" w:rsidP="00FE64B3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Palveluhenkilöstön</w:t>
            </w:r>
            <w:r w:rsidR="00FE64B3"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työroolit ja työssä onnistumisen edellytykset</w:t>
            </w:r>
          </w:p>
          <w:p w:rsidR="00FE64B3" w:rsidRPr="00C433C3" w:rsidRDefault="00002C06" w:rsidP="00FE64B3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Tarjoilujärjestelmät ja menetelmät</w:t>
            </w:r>
          </w:p>
          <w:p w:rsidR="00002C06" w:rsidRPr="00C433C3" w:rsidRDefault="00002C06" w:rsidP="00002C0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Tarjoilun perusteet ja vakioateriat</w:t>
            </w:r>
          </w:p>
          <w:p w:rsidR="00002C06" w:rsidRPr="00C433C3" w:rsidRDefault="00002C06" w:rsidP="00FE64B3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Käytännön tarjoiluharjoitukset</w:t>
            </w:r>
            <w:bookmarkStart w:id="0" w:name="_GoBack"/>
            <w:bookmarkEnd w:id="0"/>
          </w:p>
          <w:p w:rsidR="00C433C3" w:rsidRPr="00C433C3" w:rsidRDefault="00FE64B3" w:rsidP="00C433C3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Alkoholijuomien perusteet</w:t>
            </w:r>
            <w:r w:rsidR="00C433C3" w:rsidRPr="00C433C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tuotetuntemus</w:t>
            </w:r>
          </w:p>
          <w:p w:rsidR="00FE64B3" w:rsidRPr="00FE64B3" w:rsidRDefault="00C433C3" w:rsidP="00C433C3">
            <w:pPr>
              <w:pStyle w:val="Luettelokappale"/>
              <w:numPr>
                <w:ilvl w:val="0"/>
                <w:numId w:val="2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C433C3">
              <w:rPr>
                <w:rFonts w:ascii="Tahoma" w:hAnsi="Tahoma" w:cs="Tahoma"/>
                <w:sz w:val="20"/>
                <w:szCs w:val="20"/>
              </w:rPr>
              <w:t>Keskeisen ranskankielisen viiniterminologian ääntäminen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Tentti sekä oppimistehtävät ja harjoitukset.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Lähiopetus, ohjatut case -harjoitukset 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tasting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–tilaisuudet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 Itsenäinen opiskelu verkko-oppimisympäristössä.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Tentti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50%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, oppimistehtävät ja harjoitukset 50%.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Hemmi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M., Häkkinen, U.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Lahdenkauppi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M. 2008.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Avec: asiakaspalvelua ravintolassa.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Wsoy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Porvoo.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Lahdenkauppi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M.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Rinta-Huumo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A. 2004. Juomavalintoja ravintolassa: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s´il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vous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plait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D133D0">
              <w:rPr>
                <w:rFonts w:ascii="Tahoma" w:hAnsi="Tahoma" w:cs="Tahoma"/>
                <w:sz w:val="20"/>
                <w:szCs w:val="20"/>
                <w:lang w:val="en-US"/>
              </w:rPr>
              <w:t>Wsoy</w:t>
            </w:r>
            <w:proofErr w:type="spellEnd"/>
            <w:r w:rsidRPr="00D133D0">
              <w:rPr>
                <w:rFonts w:ascii="Tahoma" w:hAnsi="Tahoma" w:cs="Tahoma"/>
                <w:sz w:val="20"/>
                <w:szCs w:val="20"/>
                <w:lang w:val="en-US"/>
              </w:rPr>
              <w:t xml:space="preserve">. Helsinki. Robinson, J. 2008. Wines and Spirits. Looking behind the label. </w:t>
            </w:r>
            <w:r>
              <w:rPr>
                <w:rFonts w:ascii="Tahoma" w:hAnsi="Tahoma" w:cs="Tahoma"/>
                <w:sz w:val="20"/>
                <w:szCs w:val="20"/>
              </w:rPr>
              <w:t xml:space="preserve">Wine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Spirit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London.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voidaan toteuttaa myös englanniksi.</w:t>
            </w:r>
            <w:r>
              <w:rPr>
                <w:rFonts w:ascii="Tahoma" w:hAnsi="Tahoma" w:cs="Tahoma"/>
                <w:sz w:val="20"/>
                <w:szCs w:val="20"/>
              </w:rPr>
              <w:t xml:space="preserve"> Opiskelijalla on mahdollisuus suorittaa kansainvälisesti akkreditoitu viinitutkinto, WSET (Wine and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Spirit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Education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Trust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Intermediate-taso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Tutkinnon hinta ilmoitetaan erikseen.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Haapakoski Markku</w:t>
            </w:r>
          </w:p>
        </w:tc>
      </w:tr>
    </w:tbl>
    <w:p w:rsidR="00FE64B3" w:rsidRPr="00FE64B3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fi-FI"/>
        </w:rPr>
      </w:pPr>
    </w:p>
    <w:p w:rsidR="0003103E" w:rsidRDefault="00C433C3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02C06"/>
    <w:rsid w:val="002A47E2"/>
    <w:rsid w:val="00465259"/>
    <w:rsid w:val="00527B45"/>
    <w:rsid w:val="006C598C"/>
    <w:rsid w:val="007B27CC"/>
    <w:rsid w:val="00953B45"/>
    <w:rsid w:val="00C433C3"/>
    <w:rsid w:val="00C47C22"/>
    <w:rsid w:val="00D133D0"/>
    <w:rsid w:val="00DE57E8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Markku Haapakoski</cp:lastModifiedBy>
  <cp:revision>2</cp:revision>
  <cp:lastPrinted>2013-11-29T12:01:00Z</cp:lastPrinted>
  <dcterms:created xsi:type="dcterms:W3CDTF">2014-02-17T15:04:00Z</dcterms:created>
  <dcterms:modified xsi:type="dcterms:W3CDTF">2014-02-17T15:04:00Z</dcterms:modified>
</cp:coreProperties>
</file>