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11"/>
      </w:tblGrid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9E426E" w:rsidTr="0094707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FE64B3" w:rsidRDefault="0094707D" w:rsidP="0094707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5E7887" w:rsidRDefault="00872E49" w:rsidP="008F5CA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val="en-US" w:eastAsia="fi-FI"/>
              </w:rPr>
            </w:pPr>
            <w:proofErr w:type="spellStart"/>
            <w:r w:rsidRPr="005E7887">
              <w:rPr>
                <w:rFonts w:ascii="Tahoma" w:eastAsia="Times New Roman" w:hAnsi="Tahoma" w:cs="Tahoma"/>
                <w:b/>
                <w:sz w:val="20"/>
                <w:szCs w:val="20"/>
                <w:lang w:val="en-US" w:eastAsia="fi-FI"/>
              </w:rPr>
              <w:t>Majoituspalvelujen</w:t>
            </w:r>
            <w:proofErr w:type="spellEnd"/>
            <w:r w:rsidRPr="005E7887">
              <w:rPr>
                <w:rFonts w:ascii="Tahoma" w:eastAsia="Times New Roman" w:hAnsi="Tahoma" w:cs="Tahoma"/>
                <w:b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 w:rsidRPr="005E7887">
              <w:rPr>
                <w:rFonts w:ascii="Tahoma" w:eastAsia="Times New Roman" w:hAnsi="Tahoma" w:cs="Tahoma"/>
                <w:b/>
                <w:sz w:val="20"/>
                <w:szCs w:val="20"/>
                <w:lang w:val="en-US" w:eastAsia="fi-FI"/>
              </w:rPr>
              <w:t>perusteet</w:t>
            </w:r>
            <w:proofErr w:type="spellEnd"/>
            <w:r w:rsidR="005E7887" w:rsidRPr="005E7887">
              <w:rPr>
                <w:rFonts w:ascii="Tahoma" w:eastAsia="Times New Roman" w:hAnsi="Tahoma" w:cs="Tahoma"/>
                <w:b/>
                <w:sz w:val="20"/>
                <w:szCs w:val="20"/>
                <w:lang w:val="en-US" w:eastAsia="fi-FI"/>
              </w:rPr>
              <w:t xml:space="preserve"> / Basics of</w:t>
            </w:r>
            <w:r w:rsidR="00A33393">
              <w:rPr>
                <w:rFonts w:ascii="Tahoma" w:eastAsia="Times New Roman" w:hAnsi="Tahoma" w:cs="Tahoma"/>
                <w:b/>
                <w:sz w:val="20"/>
                <w:szCs w:val="20"/>
                <w:lang w:val="en-US" w:eastAsia="fi-FI"/>
              </w:rPr>
              <w:t xml:space="preserve"> Hotel and</w:t>
            </w:r>
            <w:r w:rsidR="005E7887" w:rsidRPr="005E7887">
              <w:rPr>
                <w:rFonts w:ascii="Tahoma" w:eastAsia="Times New Roman" w:hAnsi="Tahoma" w:cs="Tahoma"/>
                <w:b/>
                <w:sz w:val="20"/>
                <w:szCs w:val="20"/>
                <w:lang w:val="en-US" w:eastAsia="fi-FI"/>
              </w:rPr>
              <w:t xml:space="preserve"> Lodging Business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016E24" w:rsidRPr="00016E24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016E24" w:rsidRDefault="00D133D0" w:rsidP="00016E24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16E24">
              <w:rPr>
                <w:rFonts w:ascii="Tahoma" w:hAnsi="Tahoma" w:cs="Tahoma"/>
                <w:sz w:val="20"/>
                <w:szCs w:val="20"/>
              </w:rPr>
              <w:t>Opiskelija</w:t>
            </w:r>
            <w:r w:rsidR="005E1C8A" w:rsidRPr="00016E24">
              <w:rPr>
                <w:rFonts w:ascii="Tahoma" w:hAnsi="Tahoma" w:cs="Tahoma"/>
                <w:sz w:val="20"/>
                <w:szCs w:val="20"/>
              </w:rPr>
              <w:t xml:space="preserve"> tunnistaa majoitustoimialan osana matkailuelinkeinoa ja </w:t>
            </w:r>
            <w:r w:rsidRPr="00016E24">
              <w:rPr>
                <w:rFonts w:ascii="Tahoma" w:hAnsi="Tahoma" w:cs="Tahoma"/>
                <w:sz w:val="20"/>
                <w:szCs w:val="20"/>
              </w:rPr>
              <w:t xml:space="preserve">tuntee </w:t>
            </w:r>
            <w:r w:rsidR="005E1C8A" w:rsidRPr="00016E24">
              <w:rPr>
                <w:rFonts w:ascii="Tahoma" w:hAnsi="Tahoma" w:cs="Tahoma"/>
                <w:sz w:val="20"/>
                <w:szCs w:val="20"/>
              </w:rPr>
              <w:t>majoitustoiminnan erityispiirteet ja luokitukset</w:t>
            </w:r>
            <w:r w:rsidR="00C34428" w:rsidRPr="00016E24">
              <w:rPr>
                <w:rFonts w:ascii="Tahoma" w:hAnsi="Tahoma" w:cs="Tahoma"/>
                <w:sz w:val="20"/>
                <w:szCs w:val="20"/>
              </w:rPr>
              <w:t xml:space="preserve"> sekä</w:t>
            </w:r>
            <w:r w:rsidR="00E14E68" w:rsidRPr="00016E24">
              <w:rPr>
                <w:rFonts w:ascii="Tahoma" w:hAnsi="Tahoma" w:cs="Tahoma"/>
                <w:sz w:val="20"/>
                <w:szCs w:val="20"/>
              </w:rPr>
              <w:t xml:space="preserve"> tuoteryhmät ja tuotteet</w:t>
            </w:r>
            <w:r w:rsidR="00016E24" w:rsidRPr="00016E2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016E24" w:rsidRPr="00016E24">
              <w:rPr>
                <w:rFonts w:ascii="Tahoma" w:hAnsi="Tahoma" w:cs="Tahoma"/>
                <w:sz w:val="20"/>
                <w:szCs w:val="20"/>
              </w:rPr>
              <w:t xml:space="preserve">ja </w:t>
            </w:r>
            <w:r w:rsidR="00C34428" w:rsidRPr="00016E2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F5CA4" w:rsidRPr="00016E24">
              <w:rPr>
                <w:rFonts w:ascii="Tahoma" w:hAnsi="Tahoma" w:cs="Tahoma"/>
                <w:sz w:val="20"/>
                <w:szCs w:val="20"/>
              </w:rPr>
              <w:t>niiden</w:t>
            </w:r>
            <w:proofErr w:type="gramEnd"/>
            <w:r w:rsidR="008F5CA4" w:rsidRPr="00016E24">
              <w:rPr>
                <w:rFonts w:ascii="Tahoma" w:hAnsi="Tahoma" w:cs="Tahoma"/>
                <w:sz w:val="20"/>
                <w:szCs w:val="20"/>
              </w:rPr>
              <w:t xml:space="preserve"> kehittymisen. </w:t>
            </w:r>
            <w:r w:rsidR="00E14E68" w:rsidRPr="00016E24">
              <w:rPr>
                <w:rFonts w:ascii="Tahoma" w:hAnsi="Tahoma" w:cs="Tahoma"/>
                <w:sz w:val="20"/>
                <w:szCs w:val="20"/>
              </w:rPr>
              <w:t xml:space="preserve">Opiskelija </w:t>
            </w:r>
            <w:r w:rsidR="008F5CA4" w:rsidRPr="00016E24">
              <w:rPr>
                <w:rFonts w:ascii="Tahoma" w:hAnsi="Tahoma" w:cs="Tahoma"/>
                <w:sz w:val="20"/>
                <w:szCs w:val="20"/>
              </w:rPr>
              <w:t xml:space="preserve">tunnistaa </w:t>
            </w:r>
            <w:r w:rsidR="005E1C8A" w:rsidRPr="00016E24">
              <w:rPr>
                <w:rFonts w:ascii="Tahoma" w:hAnsi="Tahoma" w:cs="Tahoma"/>
                <w:sz w:val="20"/>
                <w:szCs w:val="20"/>
              </w:rPr>
              <w:t xml:space="preserve">majoitusliiketoiminnan tuote- ja palvelurakenteet sekä asiakasryhmät ja </w:t>
            </w:r>
            <w:r w:rsidR="00550B46">
              <w:rPr>
                <w:rFonts w:ascii="Tahoma" w:hAnsi="Tahoma" w:cs="Tahoma"/>
                <w:sz w:val="20"/>
                <w:szCs w:val="20"/>
              </w:rPr>
              <w:t>heidän tarpeensa</w:t>
            </w:r>
            <w:r w:rsidR="005E1C8A" w:rsidRPr="00016E24">
              <w:rPr>
                <w:rFonts w:ascii="Tahoma" w:hAnsi="Tahoma" w:cs="Tahoma"/>
                <w:sz w:val="20"/>
                <w:szCs w:val="20"/>
              </w:rPr>
              <w:t xml:space="preserve">. Opiskelija osaa arvioida majoitusliiketoiminnan sisäistä ja ulkoista toimintaympäristöä, päivittäisiä toimintoja ja erilaisia palvelukokonaisuuksia. </w:t>
            </w:r>
            <w:r w:rsidR="00C34428" w:rsidRPr="00016E24">
              <w:rPr>
                <w:rFonts w:ascii="Tahoma" w:hAnsi="Tahoma" w:cs="Tahoma"/>
                <w:sz w:val="20"/>
                <w:szCs w:val="20"/>
              </w:rPr>
              <w:t>Opiskelija tunnistaa kansainvälisen hotellitoiminnan erityispiirteitä, eri varausjärjestelmiä, jakelukanavia ja maksuvälineitä.  Opi</w:t>
            </w:r>
            <w:r w:rsidR="00016E24" w:rsidRPr="00016E24">
              <w:rPr>
                <w:rFonts w:ascii="Tahoma" w:hAnsi="Tahoma" w:cs="Tahoma"/>
                <w:sz w:val="20"/>
                <w:szCs w:val="20"/>
              </w:rPr>
              <w:t>skelija osaa arvioida toimialaa keskeisten tilastoaineistojen ja tunnuslukujen perusteella.</w:t>
            </w:r>
            <w:r w:rsidR="0056130B" w:rsidRPr="00016E2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14E68" w:rsidRPr="00016E24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72E49" w:rsidRPr="00872E49" w:rsidRDefault="00872E49" w:rsidP="00872E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>M</w:t>
            </w:r>
            <w:r w:rsidRPr="00D31857">
              <w:rPr>
                <w:rFonts w:ascii="Tahoma" w:hAnsi="Tahoma" w:cs="Tahoma"/>
                <w:color w:val="303030"/>
                <w:sz w:val="20"/>
                <w:szCs w:val="20"/>
              </w:rPr>
              <w:t>ajoitustoimiala matkailuelinkeinon osana</w:t>
            </w:r>
            <w:r>
              <w:rPr>
                <w:rFonts w:ascii="Tahoma" w:hAnsi="Tahoma" w:cs="Tahoma"/>
                <w:color w:val="303030"/>
                <w:sz w:val="20"/>
                <w:szCs w:val="20"/>
              </w:rPr>
              <w:t xml:space="preserve"> </w:t>
            </w:r>
          </w:p>
          <w:p w:rsidR="00872E49" w:rsidRPr="008806C4" w:rsidRDefault="00872E49" w:rsidP="00872E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>Majoitustoiminnan eri muodot, erityispiirteet ja luokitukset</w:t>
            </w:r>
          </w:p>
          <w:p w:rsidR="008806C4" w:rsidRPr="00D31857" w:rsidRDefault="008806C4" w:rsidP="00872E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>Majoitustoiminnan historiaa ja trendit</w:t>
            </w:r>
          </w:p>
          <w:p w:rsidR="00872E49" w:rsidRPr="00667C9B" w:rsidRDefault="00872E49" w:rsidP="00872E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31857">
              <w:rPr>
                <w:rFonts w:ascii="Tahoma" w:hAnsi="Tahoma" w:cs="Tahoma"/>
                <w:color w:val="303030"/>
                <w:sz w:val="20"/>
                <w:szCs w:val="20"/>
              </w:rPr>
              <w:t xml:space="preserve">Majoitusliikkeen liikeidea sekä </w:t>
            </w:r>
            <w:r w:rsidR="005E1C8A" w:rsidRPr="00D31857">
              <w:rPr>
                <w:rFonts w:ascii="Tahoma" w:hAnsi="Tahoma" w:cs="Tahoma"/>
                <w:color w:val="303030"/>
                <w:sz w:val="20"/>
                <w:szCs w:val="20"/>
              </w:rPr>
              <w:t>tuote- ja palvelurakenne</w:t>
            </w:r>
            <w:r w:rsidR="005E1C8A">
              <w:rPr>
                <w:rFonts w:ascii="Tahoma" w:hAnsi="Tahoma" w:cs="Tahoma"/>
                <w:color w:val="303030"/>
                <w:sz w:val="20"/>
                <w:szCs w:val="20"/>
              </w:rPr>
              <w:t xml:space="preserve"> ja asiakasryhmät</w:t>
            </w:r>
          </w:p>
          <w:p w:rsidR="00872E49" w:rsidRPr="00667C9B" w:rsidRDefault="00872E49" w:rsidP="00872E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>Sisäinen ja ulkoinen toimintaympäristö</w:t>
            </w:r>
          </w:p>
          <w:p w:rsidR="00872E49" w:rsidRPr="00D31857" w:rsidRDefault="00872E49" w:rsidP="00872E4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>Majoitustoimintaan liittyvä lainsäädäntö</w:t>
            </w:r>
            <w:r w:rsidR="008806C4">
              <w:rPr>
                <w:rFonts w:ascii="Tahoma" w:hAnsi="Tahoma" w:cs="Tahoma"/>
                <w:color w:val="303030"/>
                <w:sz w:val="20"/>
                <w:szCs w:val="20"/>
              </w:rPr>
              <w:t xml:space="preserve"> ja turvallisuus</w:t>
            </w:r>
          </w:p>
          <w:p w:rsidR="00522C4C" w:rsidRPr="008806C4" w:rsidRDefault="00522C4C" w:rsidP="00522C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>Majoitus- ja hotellitoiminnan päivittäiset toiminnot ja erilaiset palvelukokonaisuudet</w:t>
            </w:r>
          </w:p>
          <w:p w:rsidR="008806C4" w:rsidRPr="00667C9B" w:rsidRDefault="008806C4" w:rsidP="00522C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>Kansainvälinen hotellitoiminta</w:t>
            </w:r>
          </w:p>
          <w:p w:rsidR="00522C4C" w:rsidRPr="007F5252" w:rsidRDefault="00522C4C" w:rsidP="00522C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 xml:space="preserve">Varausjärjestelmät ja </w:t>
            </w:r>
            <w:proofErr w:type="spellStart"/>
            <w:r>
              <w:rPr>
                <w:rFonts w:ascii="Tahoma" w:hAnsi="Tahoma" w:cs="Tahoma"/>
                <w:color w:val="303030"/>
                <w:sz w:val="20"/>
                <w:szCs w:val="20"/>
              </w:rPr>
              <w:t>jakelukanva</w:t>
            </w:r>
            <w:r w:rsidR="009E426E">
              <w:rPr>
                <w:rFonts w:ascii="Tahoma" w:hAnsi="Tahoma" w:cs="Tahoma"/>
                <w:color w:val="303030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color w:val="303030"/>
                <w:sz w:val="20"/>
                <w:szCs w:val="20"/>
              </w:rPr>
              <w:t>t</w:t>
            </w:r>
            <w:bookmarkStart w:id="0" w:name="_GoBack"/>
            <w:bookmarkEnd w:id="0"/>
            <w:proofErr w:type="spellEnd"/>
          </w:p>
          <w:p w:rsidR="00522C4C" w:rsidRPr="00522C4C" w:rsidRDefault="00522C4C" w:rsidP="00522C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>Maksuvälineet</w:t>
            </w:r>
          </w:p>
          <w:p w:rsidR="00522C4C" w:rsidRPr="00667C9B" w:rsidRDefault="008806C4" w:rsidP="00522C4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hAnsi="Tahoma" w:cs="Tahoma"/>
                <w:color w:val="303030"/>
                <w:sz w:val="20"/>
                <w:szCs w:val="20"/>
              </w:rPr>
              <w:t xml:space="preserve">Majoitustoiminnan keskeiset tilastoaineistot ja tunnusluvut </w:t>
            </w:r>
          </w:p>
          <w:p w:rsidR="008F5CA4" w:rsidRPr="00FE64B3" w:rsidRDefault="008F5CA4" w:rsidP="008806C4">
            <w:pPr>
              <w:pStyle w:val="ListParagraph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D133D0" w:rsidP="0048636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hAnsi="Tahoma" w:cs="Tahoma"/>
                <w:sz w:val="20"/>
                <w:szCs w:val="20"/>
              </w:rPr>
              <w:t xml:space="preserve">Tentti </w:t>
            </w:r>
            <w:r w:rsidR="00486363" w:rsidRPr="00486363">
              <w:rPr>
                <w:rFonts w:ascii="Tahoma" w:hAnsi="Tahoma" w:cs="Tahoma"/>
                <w:sz w:val="20"/>
                <w:szCs w:val="20"/>
              </w:rPr>
              <w:t>ja/tai</w:t>
            </w:r>
            <w:r w:rsidRPr="00486363">
              <w:rPr>
                <w:rFonts w:ascii="Tahoma" w:hAnsi="Tahoma" w:cs="Tahoma"/>
                <w:sz w:val="20"/>
                <w:szCs w:val="20"/>
              </w:rPr>
              <w:t xml:space="preserve"> oppimistehtävät ja harjoitukset.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6D59D6" w:rsidRPr="00486363" w:rsidRDefault="00D133D0" w:rsidP="008806C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hAnsi="Tahoma" w:cs="Tahoma"/>
                <w:sz w:val="20"/>
                <w:szCs w:val="20"/>
              </w:rPr>
              <w:t xml:space="preserve">Lähiopetus, </w:t>
            </w:r>
            <w:r w:rsidR="00F96EC8">
              <w:rPr>
                <w:rFonts w:ascii="Tahoma" w:hAnsi="Tahoma" w:cs="Tahoma"/>
                <w:sz w:val="20"/>
                <w:szCs w:val="20"/>
              </w:rPr>
              <w:t xml:space="preserve">yritysvierailut, </w:t>
            </w:r>
            <w:r w:rsidRPr="00486363">
              <w:rPr>
                <w:rFonts w:ascii="Tahoma" w:hAnsi="Tahoma" w:cs="Tahoma"/>
                <w:sz w:val="20"/>
                <w:szCs w:val="20"/>
              </w:rPr>
              <w:t xml:space="preserve">ohjatut case </w:t>
            </w:r>
            <w:proofErr w:type="gramStart"/>
            <w:r w:rsidR="00EA7A45" w:rsidRPr="00486363">
              <w:rPr>
                <w:rFonts w:ascii="Tahoma" w:hAnsi="Tahoma" w:cs="Tahoma"/>
                <w:sz w:val="20"/>
                <w:szCs w:val="20"/>
              </w:rPr>
              <w:t>–</w:t>
            </w:r>
            <w:r w:rsidRPr="00486363">
              <w:rPr>
                <w:rFonts w:ascii="Tahoma" w:hAnsi="Tahoma" w:cs="Tahoma"/>
                <w:sz w:val="20"/>
                <w:szCs w:val="20"/>
              </w:rPr>
              <w:t>harj</w:t>
            </w:r>
            <w:r w:rsidR="00EA7A45" w:rsidRPr="00486363">
              <w:rPr>
                <w:rFonts w:ascii="Tahoma" w:hAnsi="Tahoma" w:cs="Tahoma"/>
                <w:sz w:val="20"/>
                <w:szCs w:val="20"/>
              </w:rPr>
              <w:t>oitukset</w:t>
            </w:r>
            <w:proofErr w:type="gramEnd"/>
            <w:r w:rsidR="00EA7A45" w:rsidRPr="00486363">
              <w:rPr>
                <w:rFonts w:ascii="Tahoma" w:hAnsi="Tahoma" w:cs="Tahoma"/>
                <w:sz w:val="20"/>
                <w:szCs w:val="20"/>
              </w:rPr>
              <w:t xml:space="preserve"> sekä i</w:t>
            </w:r>
            <w:r w:rsidRPr="00486363">
              <w:rPr>
                <w:rFonts w:ascii="Tahoma" w:hAnsi="Tahoma" w:cs="Tahoma"/>
                <w:sz w:val="20"/>
                <w:szCs w:val="20"/>
              </w:rPr>
              <w:t>tsenäinen opiskelu verkko-oppimisympäristössä.</w:t>
            </w:r>
            <w:r w:rsidR="00F96E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86363" w:rsidRDefault="00486363" w:rsidP="0048636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48636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Ilmoitetaan opintojakson alussa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94707D" w:rsidP="00016E24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Ilmoitetaan opintojakson alussa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Ei edeltäviä opintoja.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EA7A4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 voidaan toteuttaa myös englanniksi.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E64B3" w:rsidRPr="00FE64B3" w:rsidTr="0048636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8806C4" w:rsidP="0094707D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Jorma Korhonen tai Markku Haapakoski</w:t>
            </w:r>
          </w:p>
        </w:tc>
      </w:tr>
    </w:tbl>
    <w:p w:rsidR="0003103E" w:rsidRDefault="009E426E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884CEB"/>
    <w:multiLevelType w:val="multilevel"/>
    <w:tmpl w:val="15085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317D1"/>
    <w:multiLevelType w:val="multilevel"/>
    <w:tmpl w:val="C8BA11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16E24"/>
    <w:rsid w:val="00486363"/>
    <w:rsid w:val="004F031F"/>
    <w:rsid w:val="00522C4C"/>
    <w:rsid w:val="00550B46"/>
    <w:rsid w:val="0056130B"/>
    <w:rsid w:val="005E1C8A"/>
    <w:rsid w:val="005E7887"/>
    <w:rsid w:val="006D59D6"/>
    <w:rsid w:val="007B27CC"/>
    <w:rsid w:val="00872E49"/>
    <w:rsid w:val="008806C4"/>
    <w:rsid w:val="008F5CA4"/>
    <w:rsid w:val="0094707D"/>
    <w:rsid w:val="009E426E"/>
    <w:rsid w:val="00A33393"/>
    <w:rsid w:val="00C34428"/>
    <w:rsid w:val="00C47C22"/>
    <w:rsid w:val="00CC4995"/>
    <w:rsid w:val="00D133D0"/>
    <w:rsid w:val="00E14E68"/>
    <w:rsid w:val="00EA7A45"/>
    <w:rsid w:val="00F96EC8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Jorma Korhonen</cp:lastModifiedBy>
  <cp:revision>6</cp:revision>
  <cp:lastPrinted>2014-01-27T10:33:00Z</cp:lastPrinted>
  <dcterms:created xsi:type="dcterms:W3CDTF">2014-01-28T13:58:00Z</dcterms:created>
  <dcterms:modified xsi:type="dcterms:W3CDTF">2014-12-09T09:28:00Z</dcterms:modified>
</cp:coreProperties>
</file>