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Default="00FE64B3" w:rsidP="00FE64B3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7412"/>
      </w:tblGrid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FE64B3" w:rsidTr="0094707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FE64B3" w:rsidRDefault="0094707D" w:rsidP="0094707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6D59D6" w:rsidRDefault="0094707D" w:rsidP="00DA729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i-FI"/>
              </w:rPr>
              <w:t>Matkailun maailma</w:t>
            </w:r>
            <w:r w:rsidR="00D13BEB">
              <w:rPr>
                <w:rFonts w:ascii="Tahoma" w:eastAsia="Times New Roman" w:hAnsi="Tahoma" w:cs="Tahoma"/>
                <w:b/>
                <w:sz w:val="20"/>
                <w:szCs w:val="20"/>
                <w:lang w:eastAsia="fi-FI"/>
              </w:rPr>
              <w:t xml:space="preserve"> / World of </w:t>
            </w:r>
            <w:proofErr w:type="spellStart"/>
            <w:r w:rsidR="00D13BEB">
              <w:rPr>
                <w:rFonts w:ascii="Tahoma" w:eastAsia="Times New Roman" w:hAnsi="Tahoma" w:cs="Tahoma"/>
                <w:b/>
                <w:sz w:val="20"/>
                <w:szCs w:val="20"/>
                <w:lang w:eastAsia="fi-FI"/>
              </w:rPr>
              <w:t>Tourism</w:t>
            </w:r>
            <w:proofErr w:type="spellEnd"/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86363" w:rsidRDefault="00D133D0" w:rsidP="00D133D0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Opiskelija tuntee matkailu</w:t>
            </w:r>
            <w:r w:rsidR="00E14E68">
              <w:rPr>
                <w:rFonts w:ascii="Tahoma" w:hAnsi="Tahoma" w:cs="Tahoma"/>
                <w:sz w:val="20"/>
                <w:szCs w:val="20"/>
              </w:rPr>
              <w:t xml:space="preserve">alan </w:t>
            </w:r>
            <w:r>
              <w:rPr>
                <w:rFonts w:ascii="Tahoma" w:hAnsi="Tahoma" w:cs="Tahoma"/>
                <w:sz w:val="20"/>
                <w:szCs w:val="20"/>
              </w:rPr>
              <w:t>rakenteet ja sidosryhmät sekä keskeiset kotima</w:t>
            </w:r>
            <w:r w:rsidR="00E14E68">
              <w:rPr>
                <w:rFonts w:ascii="Tahoma" w:hAnsi="Tahoma" w:cs="Tahoma"/>
                <w:sz w:val="20"/>
                <w:szCs w:val="20"/>
              </w:rPr>
              <w:t>iset ja kansainväliset toimijat, tuoteryhmät ja tuotteet</w:t>
            </w:r>
            <w:r w:rsidR="008F5CA4">
              <w:rPr>
                <w:rFonts w:ascii="Tahoma" w:hAnsi="Tahoma" w:cs="Tahoma"/>
                <w:sz w:val="20"/>
                <w:szCs w:val="20"/>
              </w:rPr>
              <w:t xml:space="preserve"> ja niiden toimintaympäristön ja kehittymisen. </w:t>
            </w:r>
            <w:r w:rsidR="00E14E68"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 w:rsidR="008F5CA4">
              <w:rPr>
                <w:rFonts w:ascii="Tahoma" w:hAnsi="Tahoma" w:cs="Tahoma"/>
                <w:sz w:val="20"/>
                <w:szCs w:val="20"/>
              </w:rPr>
              <w:t xml:space="preserve">tunnistaa </w:t>
            </w:r>
            <w:r w:rsidR="00E14E68">
              <w:rPr>
                <w:rFonts w:ascii="Tahoma" w:hAnsi="Tahoma" w:cs="Tahoma"/>
                <w:sz w:val="20"/>
                <w:szCs w:val="20"/>
              </w:rPr>
              <w:t xml:space="preserve">matkailijatyypit, heidän tarpeet ja motiivit ja </w:t>
            </w:r>
            <w:r w:rsidR="008F5CA4">
              <w:rPr>
                <w:rFonts w:ascii="Tahoma" w:hAnsi="Tahoma" w:cs="Tahoma"/>
                <w:sz w:val="20"/>
                <w:szCs w:val="20"/>
              </w:rPr>
              <w:t xml:space="preserve">tunnistaa merkittävät matkailun vetovoimatekijät ja kysyntään vaikuttavat tekijät ja trendit sekä </w:t>
            </w:r>
            <w:r w:rsidR="0056130B">
              <w:rPr>
                <w:rFonts w:ascii="Tahoma" w:hAnsi="Tahoma" w:cs="Tahoma"/>
                <w:sz w:val="20"/>
                <w:szCs w:val="20"/>
              </w:rPr>
              <w:t xml:space="preserve">osaa arvioida matkailun vaikutuksia erilaisilla lähtö- ja tuloalueilla. </w:t>
            </w:r>
            <w:r w:rsidR="00E14E68"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 w:rsidR="0056130B">
              <w:rPr>
                <w:rFonts w:ascii="Tahoma" w:hAnsi="Tahoma" w:cs="Tahoma"/>
                <w:sz w:val="20"/>
                <w:szCs w:val="20"/>
              </w:rPr>
              <w:t>tuntee</w:t>
            </w:r>
            <w:r w:rsidR="00E14E68">
              <w:rPr>
                <w:rFonts w:ascii="Tahoma" w:hAnsi="Tahoma" w:cs="Tahoma"/>
                <w:sz w:val="20"/>
                <w:szCs w:val="20"/>
              </w:rPr>
              <w:t xml:space="preserve"> matkajärjestelyjen turvallisuuskysymyks</w:t>
            </w:r>
            <w:r w:rsidR="0056130B">
              <w:rPr>
                <w:rFonts w:ascii="Tahoma" w:hAnsi="Tahoma" w:cs="Tahoma"/>
                <w:sz w:val="20"/>
                <w:szCs w:val="20"/>
              </w:rPr>
              <w:t>et</w:t>
            </w:r>
            <w:r w:rsidR="00E14E68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="0056130B">
              <w:rPr>
                <w:rFonts w:ascii="Tahoma" w:hAnsi="Tahoma" w:cs="Tahoma"/>
                <w:sz w:val="20"/>
                <w:szCs w:val="20"/>
              </w:rPr>
              <w:t>osaa huomioida</w:t>
            </w:r>
            <w:r w:rsidR="00E14E68">
              <w:rPr>
                <w:rFonts w:ascii="Tahoma" w:hAnsi="Tahoma" w:cs="Tahoma"/>
                <w:sz w:val="20"/>
                <w:szCs w:val="20"/>
              </w:rPr>
              <w:t xml:space="preserve"> lainsäädännön vaatimu</w:t>
            </w:r>
            <w:r w:rsidR="0056130B">
              <w:rPr>
                <w:rFonts w:ascii="Tahoma" w:hAnsi="Tahoma" w:cs="Tahoma"/>
                <w:sz w:val="20"/>
                <w:szCs w:val="20"/>
              </w:rPr>
              <w:t>kset sekä tunnistaa</w:t>
            </w:r>
            <w:r w:rsidR="004863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6130B">
              <w:rPr>
                <w:rFonts w:ascii="Tahoma" w:hAnsi="Tahoma" w:cs="Tahoma"/>
                <w:sz w:val="20"/>
                <w:szCs w:val="20"/>
              </w:rPr>
              <w:t>kestävän kehityksen</w:t>
            </w:r>
            <w:r w:rsidR="00486363">
              <w:rPr>
                <w:rFonts w:ascii="Tahoma" w:hAnsi="Tahoma" w:cs="Tahoma"/>
                <w:sz w:val="20"/>
                <w:szCs w:val="20"/>
              </w:rPr>
              <w:t xml:space="preserve"> osana matkailualan</w:t>
            </w:r>
          </w:p>
          <w:p w:rsidR="00E14E68" w:rsidRDefault="00486363" w:rsidP="00D133D0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tulevaisuutta.</w:t>
            </w:r>
            <w:r w:rsidR="0056130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4E68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:rsidR="00FE64B3" w:rsidRPr="00CC4995" w:rsidRDefault="00EA7A45" w:rsidP="00E14E68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A7A45" w:rsidRPr="00486363" w:rsidRDefault="00EA7A45" w:rsidP="00D133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Matkailuun</w:t>
            </w:r>
            <w:r w:rsidR="00486363"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 xml:space="preserve"> </w:t>
            </w: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liittyvät keskeiset käsitteet</w:t>
            </w:r>
          </w:p>
          <w:p w:rsidR="00486363" w:rsidRPr="00EA7A45" w:rsidRDefault="00486363" w:rsidP="00D133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Matkailun vaikutukset ihmiseen ja yhteiskuntaan</w:t>
            </w:r>
          </w:p>
          <w:p w:rsidR="00EA7A45" w:rsidRPr="00486363" w:rsidRDefault="00EA7A45" w:rsidP="00D133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Elinkeinon maantieteelline</w:t>
            </w:r>
            <w:r w:rsidR="00980E44"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n toimintaympäristö</w:t>
            </w:r>
          </w:p>
          <w:p w:rsidR="00486363" w:rsidRPr="00486363" w:rsidRDefault="00486363" w:rsidP="00D133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8F5CA4">
              <w:rPr>
                <w:rFonts w:ascii="Calibri" w:eastAsia="Calibri" w:hAnsi="Calibri" w:cs="Calibri"/>
                <w:lang w:eastAsia="fi-FI"/>
              </w:rPr>
              <w:t>Matkailuelinkeino ja toimialojen erityispiirteet</w:t>
            </w:r>
          </w:p>
          <w:p w:rsidR="00E14E68" w:rsidRPr="00E14E68" w:rsidRDefault="00486363" w:rsidP="00FE64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K</w:t>
            </w:r>
            <w:r w:rsidR="00E14E68"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estävä kehitys</w:t>
            </w:r>
          </w:p>
          <w:p w:rsidR="00E14E68" w:rsidRPr="00486363" w:rsidRDefault="00E14E68" w:rsidP="00FE64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Palvelujen ja tuotteiden turvallisuus</w:t>
            </w:r>
            <w:r w:rsidR="00486363"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 xml:space="preserve"> ja lainsäädäntö</w:t>
            </w:r>
          </w:p>
          <w:p w:rsidR="00486363" w:rsidRPr="00CA3BB4" w:rsidRDefault="00486363" w:rsidP="00FE64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Matkailun historia, kehittyminen, tulevaisuus ja trendit</w:t>
            </w:r>
          </w:p>
          <w:p w:rsidR="00CA3BB4" w:rsidRPr="00FE64B3" w:rsidRDefault="00CA3BB4" w:rsidP="00CA3B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color w:val="303030"/>
                <w:sz w:val="20"/>
                <w:szCs w:val="20"/>
                <w:lang w:eastAsia="fi-FI"/>
              </w:rPr>
              <w:t>Asiakaslähtöinen palvelutuote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D133D0" w:rsidP="0048636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hAnsi="Tahoma" w:cs="Tahoma"/>
                <w:sz w:val="20"/>
                <w:szCs w:val="20"/>
              </w:rPr>
              <w:t xml:space="preserve">Tentti </w:t>
            </w:r>
            <w:r w:rsidR="00486363" w:rsidRPr="00486363">
              <w:rPr>
                <w:rFonts w:ascii="Tahoma" w:hAnsi="Tahoma" w:cs="Tahoma"/>
                <w:sz w:val="20"/>
                <w:szCs w:val="20"/>
              </w:rPr>
              <w:t>ja/tai</w:t>
            </w:r>
            <w:r w:rsidRPr="00486363">
              <w:rPr>
                <w:rFonts w:ascii="Tahoma" w:hAnsi="Tahoma" w:cs="Tahoma"/>
                <w:sz w:val="20"/>
                <w:szCs w:val="20"/>
              </w:rPr>
              <w:t xml:space="preserve"> oppimistehtävät ja harjoitukset.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D133D0" w:rsidP="00EA7A45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86363">
              <w:rPr>
                <w:rFonts w:ascii="Tahoma" w:hAnsi="Tahoma" w:cs="Tahoma"/>
                <w:sz w:val="20"/>
                <w:szCs w:val="20"/>
              </w:rPr>
              <w:t xml:space="preserve">Lähiopetus, ohjatut case </w:t>
            </w:r>
            <w:r w:rsidR="00DA7296">
              <w:rPr>
                <w:rFonts w:ascii="Tahoma" w:hAnsi="Tahoma" w:cs="Tahoma"/>
                <w:sz w:val="20"/>
                <w:szCs w:val="20"/>
              </w:rPr>
              <w:t>-</w:t>
            </w:r>
            <w:r w:rsidRPr="00486363">
              <w:rPr>
                <w:rFonts w:ascii="Tahoma" w:hAnsi="Tahoma" w:cs="Tahoma"/>
                <w:sz w:val="20"/>
                <w:szCs w:val="20"/>
              </w:rPr>
              <w:t>harj</w:t>
            </w:r>
            <w:r w:rsidR="00EA7A45" w:rsidRPr="00486363">
              <w:rPr>
                <w:rFonts w:ascii="Tahoma" w:hAnsi="Tahoma" w:cs="Tahoma"/>
                <w:sz w:val="20"/>
                <w:szCs w:val="20"/>
              </w:rPr>
              <w:t>oitukset sekä i</w:t>
            </w:r>
            <w:r w:rsidRPr="00486363">
              <w:rPr>
                <w:rFonts w:ascii="Tahoma" w:hAnsi="Tahoma" w:cs="Tahoma"/>
                <w:sz w:val="20"/>
                <w:szCs w:val="20"/>
              </w:rPr>
              <w:t>tsenäinen opiskelu verkko-oppimisympäristössä.</w:t>
            </w:r>
            <w:proofErr w:type="gramEnd"/>
          </w:p>
          <w:p w:rsidR="006D59D6" w:rsidRPr="00486363" w:rsidRDefault="006D59D6" w:rsidP="00EA7A4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486363" w:rsidP="0048636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Ilmoitetaan opintojakson alussa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A7A45" w:rsidRDefault="0094707D" w:rsidP="00D133D0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Ilmoitetaan opintojakson alussa</w:t>
            </w:r>
          </w:p>
          <w:p w:rsidR="00FE64B3" w:rsidRPr="00FE64B3" w:rsidRDefault="00FE64B3" w:rsidP="0094707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Ei edeltäviä opintoja.</w:t>
            </w:r>
          </w:p>
        </w:tc>
      </w:tr>
      <w:tr w:rsidR="00FE64B3" w:rsidRPr="00FE64B3" w:rsidTr="00DA7296">
        <w:trPr>
          <w:trHeight w:val="61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  <w:p w:rsidR="00CE127C" w:rsidRDefault="00CE127C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044"/>
            </w:tblGrid>
            <w:tr w:rsidR="00CE127C" w:rsidTr="00CE127C">
              <w:tc>
                <w:tcPr>
                  <w:tcW w:w="195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CE127C" w:rsidRDefault="00CE127C">
                  <w:pPr>
                    <w:spacing w:after="0" w:line="336" w:lineRule="auto"/>
                    <w:textAlignment w:val="baseline"/>
                    <w:rPr>
                      <w:rFonts w:ascii="Tahoma" w:eastAsia="Times New Roman" w:hAnsi="Tahoma" w:cs="Tahoma"/>
                      <w:sz w:val="20"/>
                      <w:szCs w:val="20"/>
                      <w:lang w:eastAsia="fi-F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fi-FI"/>
                    </w:rPr>
                    <w:t>Muuta huomioitavaa</w:t>
                  </w:r>
                </w:p>
              </w:tc>
              <w:tc>
                <w:tcPr>
                  <w:tcW w:w="750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CE127C" w:rsidRDefault="00CE127C">
                  <w:pPr>
                    <w:spacing w:after="0" w:line="336" w:lineRule="auto"/>
                    <w:textAlignment w:val="baseline"/>
                    <w:rPr>
                      <w:rFonts w:ascii="Tahoma" w:eastAsia="Times New Roman" w:hAnsi="Tahoma" w:cs="Tahoma"/>
                      <w:sz w:val="20"/>
                      <w:szCs w:val="20"/>
                      <w:lang w:eastAsia="fi-FI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fi-FI"/>
                    </w:rPr>
                    <w:t xml:space="preserve">Opintojakso voidaan toteuttaa myös 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fi-FI"/>
                    </w:rPr>
                    <w:lastRenderedPageBreak/>
                    <w:t>englanniksi</w:t>
                  </w:r>
                </w:p>
              </w:tc>
            </w:tr>
          </w:tbl>
          <w:p w:rsidR="00CE127C" w:rsidRPr="00FE64B3" w:rsidRDefault="00CE127C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bookmarkStart w:id="0" w:name="_GoBack"/>
            <w:bookmarkEnd w:id="0"/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EA7A4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94707D" w:rsidP="0094707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Hilkka Lassila</w:t>
            </w:r>
          </w:p>
        </w:tc>
      </w:tr>
    </w:tbl>
    <w:p w:rsidR="0003103E" w:rsidRDefault="00CE127C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317D1"/>
    <w:multiLevelType w:val="multilevel"/>
    <w:tmpl w:val="C8BA1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486363"/>
    <w:rsid w:val="004F031F"/>
    <w:rsid w:val="0056130B"/>
    <w:rsid w:val="006D59D6"/>
    <w:rsid w:val="007B27CC"/>
    <w:rsid w:val="008F5CA4"/>
    <w:rsid w:val="0094707D"/>
    <w:rsid w:val="00980E44"/>
    <w:rsid w:val="00C47C22"/>
    <w:rsid w:val="00CA3BB4"/>
    <w:rsid w:val="00CC4995"/>
    <w:rsid w:val="00CE127C"/>
    <w:rsid w:val="00D133D0"/>
    <w:rsid w:val="00D13BEB"/>
    <w:rsid w:val="00DA7296"/>
    <w:rsid w:val="00E14E68"/>
    <w:rsid w:val="00E86AF8"/>
    <w:rsid w:val="00EA7A45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Sirpa Vauhkonen</dc:creator>
  <cp:lastModifiedBy>Jari Linden</cp:lastModifiedBy>
  <cp:revision>7</cp:revision>
  <cp:lastPrinted>2014-01-27T10:33:00Z</cp:lastPrinted>
  <dcterms:created xsi:type="dcterms:W3CDTF">2014-02-11T09:04:00Z</dcterms:created>
  <dcterms:modified xsi:type="dcterms:W3CDTF">2014-02-18T12:10:00Z</dcterms:modified>
</cp:coreProperties>
</file>