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79CDB" w14:textId="0E1A459A" w:rsidR="001F4710" w:rsidRDefault="001F4710" w:rsidP="001F4710">
      <w:pPr>
        <w:rPr>
          <w:highlight w:val="yellow"/>
        </w:rPr>
      </w:pPr>
      <w:r>
        <w:rPr>
          <w:highlight w:val="yellow"/>
        </w:rPr>
        <w:t>OPINTOJEN RAKENNE</w:t>
      </w:r>
      <w:bookmarkStart w:id="0" w:name="_GoBack"/>
      <w:bookmarkEnd w:id="0"/>
    </w:p>
    <w:p w14:paraId="026F97AC" w14:textId="77777777" w:rsidR="001F4710" w:rsidRDefault="001F4710" w:rsidP="001F4710"/>
    <w:p w14:paraId="6772663D" w14:textId="77777777" w:rsidR="006671F4" w:rsidRPr="008D4205" w:rsidRDefault="006671F4" w:rsidP="006671F4">
      <w:pPr>
        <w:rPr>
          <w:rFonts w:ascii="Tahoma" w:hAnsi="Tahoma" w:cs="Tahoma"/>
          <w:color w:val="262626"/>
          <w:sz w:val="22"/>
          <w:szCs w:val="22"/>
          <w:lang w:val="en-US"/>
        </w:rPr>
      </w:pPr>
    </w:p>
    <w:tbl>
      <w:tblPr>
        <w:tblStyle w:val="TableGrid"/>
        <w:tblW w:w="0" w:type="auto"/>
        <w:tblLook w:val="04A0" w:firstRow="1" w:lastRow="0" w:firstColumn="1" w:lastColumn="0" w:noHBand="0" w:noVBand="1"/>
      </w:tblPr>
      <w:tblGrid>
        <w:gridCol w:w="1901"/>
        <w:gridCol w:w="1600"/>
        <w:gridCol w:w="6111"/>
      </w:tblGrid>
      <w:tr w:rsidR="00BB759E" w:rsidRPr="008D4205" w14:paraId="28D87975" w14:textId="77777777" w:rsidTr="009A1D7D">
        <w:tc>
          <w:tcPr>
            <w:tcW w:w="1901" w:type="dxa"/>
          </w:tcPr>
          <w:p w14:paraId="4D9C0C03" w14:textId="77777777" w:rsidR="00BB759E" w:rsidRPr="008D4205" w:rsidRDefault="00BB759E" w:rsidP="006671F4">
            <w:pPr>
              <w:rPr>
                <w:rFonts w:ascii="Tahoma" w:hAnsi="Tahoma" w:cs="Tahoma"/>
                <w:color w:val="262626"/>
                <w:sz w:val="22"/>
                <w:szCs w:val="22"/>
                <w:lang w:val="en-US"/>
              </w:rPr>
            </w:pPr>
          </w:p>
        </w:tc>
        <w:tc>
          <w:tcPr>
            <w:tcW w:w="1600" w:type="dxa"/>
          </w:tcPr>
          <w:p w14:paraId="7685A93A" w14:textId="55854A16"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Laajuus</w:t>
            </w:r>
            <w:proofErr w:type="spellEnd"/>
          </w:p>
        </w:tc>
        <w:tc>
          <w:tcPr>
            <w:tcW w:w="6111" w:type="dxa"/>
          </w:tcPr>
          <w:p w14:paraId="00BA039F" w14:textId="688E6D0D"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Luonnehdinta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opinnoista</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lyhyesti</w:t>
            </w:r>
            <w:proofErr w:type="spellEnd"/>
          </w:p>
        </w:tc>
      </w:tr>
      <w:tr w:rsidR="00BB759E" w:rsidRPr="008D4205" w14:paraId="4C157458" w14:textId="77777777" w:rsidTr="009A1D7D">
        <w:tc>
          <w:tcPr>
            <w:tcW w:w="1901" w:type="dxa"/>
          </w:tcPr>
          <w:p w14:paraId="13B84A02" w14:textId="7578105F"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Perusopinnot</w:t>
            </w:r>
            <w:proofErr w:type="spellEnd"/>
          </w:p>
        </w:tc>
        <w:tc>
          <w:tcPr>
            <w:tcW w:w="1600" w:type="dxa"/>
          </w:tcPr>
          <w:p w14:paraId="1FFBF3AA" w14:textId="1FF7A4A7" w:rsidR="00BB759E" w:rsidRPr="008D4205" w:rsidRDefault="009A1D7D" w:rsidP="006671F4">
            <w:pPr>
              <w:rPr>
                <w:rFonts w:ascii="Tahoma" w:hAnsi="Tahoma" w:cs="Tahoma"/>
                <w:color w:val="262626"/>
                <w:sz w:val="22"/>
                <w:szCs w:val="22"/>
                <w:lang w:val="en-US"/>
              </w:rPr>
            </w:pPr>
            <w:r w:rsidRPr="008D4205">
              <w:rPr>
                <w:rFonts w:ascii="Tahoma" w:hAnsi="Tahoma" w:cs="Tahoma"/>
                <w:color w:val="262626"/>
                <w:sz w:val="22"/>
                <w:szCs w:val="22"/>
                <w:lang w:val="en-US"/>
              </w:rPr>
              <w:t>6</w:t>
            </w:r>
            <w:r w:rsidR="00BB759E" w:rsidRPr="008D4205">
              <w:rPr>
                <w:rFonts w:ascii="Tahoma" w:hAnsi="Tahoma" w:cs="Tahoma"/>
                <w:color w:val="262626"/>
                <w:sz w:val="22"/>
                <w:szCs w:val="22"/>
                <w:lang w:val="en-US"/>
              </w:rPr>
              <w:t>0 op</w:t>
            </w:r>
          </w:p>
        </w:tc>
        <w:tc>
          <w:tcPr>
            <w:tcW w:w="6111" w:type="dxa"/>
          </w:tcPr>
          <w:p w14:paraId="1FBF786F" w14:textId="10C32495" w:rsidR="00BB759E" w:rsidRPr="008D4205" w:rsidRDefault="00BB759E" w:rsidP="006671F4">
            <w:pPr>
              <w:rPr>
                <w:rFonts w:ascii="Tahoma" w:hAnsi="Tahoma" w:cs="Tahoma"/>
                <w:color w:val="262626"/>
                <w:sz w:val="22"/>
                <w:szCs w:val="22"/>
              </w:rPr>
            </w:pPr>
            <w:r w:rsidRPr="008D4205">
              <w:rPr>
                <w:rFonts w:ascii="Tahoma" w:hAnsi="Tahoma" w:cs="Tahoma"/>
                <w:color w:val="262626"/>
                <w:sz w:val="22"/>
                <w:szCs w:val="22"/>
              </w:rPr>
              <w:t>Perusopinnot johdattavat opiskelijan ammattikorkeakouluopintoihin sekä matkailu- ja ravitsemisalaan. Ne luovat pohjan henkilökohtaiselle opiskelu- ja urasuunnitelmalle (HOPS) sekä ammattiopinnoille ja ammatillisen kielitaidon kehittymiselle.</w:t>
            </w:r>
          </w:p>
        </w:tc>
      </w:tr>
      <w:tr w:rsidR="00BB759E" w:rsidRPr="008D4205" w14:paraId="68A0455C" w14:textId="77777777" w:rsidTr="009A1D7D">
        <w:tc>
          <w:tcPr>
            <w:tcW w:w="1901" w:type="dxa"/>
          </w:tcPr>
          <w:p w14:paraId="6E1D434F" w14:textId="5EEBC4D0" w:rsidR="00BB759E" w:rsidRPr="008D4205" w:rsidRDefault="009A1D7D"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Ammattiopinnot</w:t>
            </w:r>
            <w:proofErr w:type="spellEnd"/>
          </w:p>
        </w:tc>
        <w:tc>
          <w:tcPr>
            <w:tcW w:w="1600" w:type="dxa"/>
          </w:tcPr>
          <w:p w14:paraId="73AC2AC0" w14:textId="659309C3" w:rsidR="00BB759E" w:rsidRPr="008D4205" w:rsidRDefault="009A1D7D" w:rsidP="006671F4">
            <w:pPr>
              <w:rPr>
                <w:rFonts w:ascii="Tahoma" w:hAnsi="Tahoma" w:cs="Tahoma"/>
                <w:color w:val="262626"/>
                <w:sz w:val="22"/>
                <w:szCs w:val="22"/>
                <w:lang w:val="en-US"/>
              </w:rPr>
            </w:pPr>
            <w:r w:rsidRPr="008D4205">
              <w:rPr>
                <w:rFonts w:ascii="Tahoma" w:hAnsi="Tahoma" w:cs="Tahoma"/>
                <w:color w:val="262626"/>
                <w:sz w:val="22"/>
                <w:szCs w:val="22"/>
                <w:lang w:val="en-US"/>
              </w:rPr>
              <w:t>75</w:t>
            </w:r>
            <w:r w:rsidR="00BB759E" w:rsidRPr="008D4205">
              <w:rPr>
                <w:rFonts w:ascii="Tahoma" w:hAnsi="Tahoma" w:cs="Tahoma"/>
                <w:color w:val="262626"/>
                <w:sz w:val="22"/>
                <w:szCs w:val="22"/>
                <w:lang w:val="en-US"/>
              </w:rPr>
              <w:t xml:space="preserve"> op</w:t>
            </w:r>
          </w:p>
        </w:tc>
        <w:tc>
          <w:tcPr>
            <w:tcW w:w="6111" w:type="dxa"/>
          </w:tcPr>
          <w:p w14:paraId="2EF10E19" w14:textId="031E09EF" w:rsidR="00BB759E" w:rsidRPr="008D4205" w:rsidRDefault="008D4205" w:rsidP="006671F4">
            <w:pPr>
              <w:rPr>
                <w:rFonts w:ascii="Tahoma" w:hAnsi="Tahoma" w:cs="Tahoma"/>
                <w:color w:val="262626"/>
                <w:sz w:val="22"/>
                <w:szCs w:val="22"/>
              </w:rPr>
            </w:pPr>
            <w:r w:rsidRPr="008D4205">
              <w:rPr>
                <w:rFonts w:ascii="Tahoma" w:hAnsi="Tahoma" w:cs="Tahoma"/>
                <w:color w:val="262626"/>
                <w:sz w:val="22"/>
                <w:szCs w:val="22"/>
              </w:rPr>
              <w:t>Ammatti</w:t>
            </w:r>
            <w:r w:rsidR="00BB759E" w:rsidRPr="008D4205">
              <w:rPr>
                <w:rFonts w:ascii="Tahoma" w:hAnsi="Tahoma" w:cs="Tahoma"/>
                <w:color w:val="262626"/>
                <w:sz w:val="22"/>
                <w:szCs w:val="22"/>
              </w:rPr>
              <w:t>opinnot ovat kaikille restonom</w:t>
            </w:r>
            <w:r w:rsidRPr="008D4205">
              <w:rPr>
                <w:rFonts w:ascii="Tahoma" w:hAnsi="Tahoma" w:cs="Tahoma"/>
                <w:color w:val="262626"/>
                <w:sz w:val="22"/>
                <w:szCs w:val="22"/>
              </w:rPr>
              <w:t xml:space="preserve">iopiskelijoille yhteisiä </w:t>
            </w:r>
            <w:r w:rsidR="00BB759E" w:rsidRPr="008D4205">
              <w:rPr>
                <w:rFonts w:ascii="Tahoma" w:hAnsi="Tahoma" w:cs="Tahoma"/>
                <w:color w:val="262626"/>
                <w:sz w:val="22"/>
                <w:szCs w:val="22"/>
              </w:rPr>
              <w:t>opintoja, jotka kehittävät jokaiselta restonomilta vaadittavaa osaamista.</w:t>
            </w:r>
          </w:p>
        </w:tc>
      </w:tr>
      <w:tr w:rsidR="00BB759E" w:rsidRPr="008D4205" w14:paraId="693FFDAC" w14:textId="77777777" w:rsidTr="009A1D7D">
        <w:tc>
          <w:tcPr>
            <w:tcW w:w="1901" w:type="dxa"/>
          </w:tcPr>
          <w:p w14:paraId="51D0EA10" w14:textId="502E81E0"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Harjoittelu</w:t>
            </w:r>
            <w:proofErr w:type="spellEnd"/>
          </w:p>
        </w:tc>
        <w:tc>
          <w:tcPr>
            <w:tcW w:w="1600" w:type="dxa"/>
          </w:tcPr>
          <w:p w14:paraId="56B04266" w14:textId="3191BB18" w:rsidR="00BB759E" w:rsidRPr="008D4205" w:rsidRDefault="00BB759E" w:rsidP="006671F4">
            <w:pPr>
              <w:rPr>
                <w:rFonts w:ascii="Tahoma" w:hAnsi="Tahoma" w:cs="Tahoma"/>
                <w:color w:val="262626"/>
                <w:sz w:val="22"/>
                <w:szCs w:val="22"/>
                <w:lang w:val="en-US"/>
              </w:rPr>
            </w:pPr>
            <w:r w:rsidRPr="008D4205">
              <w:rPr>
                <w:rFonts w:ascii="Tahoma" w:hAnsi="Tahoma" w:cs="Tahoma"/>
                <w:color w:val="262626"/>
                <w:sz w:val="22"/>
                <w:szCs w:val="22"/>
                <w:lang w:val="en-US"/>
              </w:rPr>
              <w:t>30 op</w:t>
            </w:r>
          </w:p>
        </w:tc>
        <w:tc>
          <w:tcPr>
            <w:tcW w:w="6111" w:type="dxa"/>
          </w:tcPr>
          <w:p w14:paraId="42F0340C" w14:textId="41D9B1B0" w:rsidR="00BB759E" w:rsidRPr="008D4205" w:rsidRDefault="000B3407" w:rsidP="003436D9">
            <w:pPr>
              <w:rPr>
                <w:rFonts w:ascii="Tahoma" w:hAnsi="Tahoma" w:cs="Tahoma"/>
                <w:color w:val="262626"/>
                <w:sz w:val="22"/>
                <w:szCs w:val="22"/>
              </w:rPr>
            </w:pPr>
            <w:r w:rsidRPr="003436D9">
              <w:rPr>
                <w:rFonts w:ascii="Tahoma" w:hAnsi="Tahoma" w:cs="Tahoma"/>
                <w:sz w:val="22"/>
                <w:szCs w:val="22"/>
              </w:rPr>
              <w:t>Har</w:t>
            </w:r>
            <w:r w:rsidR="0027471F">
              <w:rPr>
                <w:rFonts w:ascii="Tahoma" w:hAnsi="Tahoma" w:cs="Tahoma"/>
                <w:sz w:val="22"/>
                <w:szCs w:val="22"/>
              </w:rPr>
              <w:t>joittelussa opiskelija vahvistaa</w:t>
            </w:r>
            <w:r w:rsidR="003436D9" w:rsidRPr="003436D9">
              <w:rPr>
                <w:rFonts w:ascii="Tahoma" w:hAnsi="Tahoma" w:cs="Tahoma"/>
                <w:sz w:val="22"/>
                <w:szCs w:val="22"/>
              </w:rPr>
              <w:t xml:space="preserve"> osaamistaan käytännön työtehtävissä</w:t>
            </w:r>
            <w:r w:rsidRPr="003436D9">
              <w:rPr>
                <w:rFonts w:ascii="Tahoma" w:hAnsi="Tahoma" w:cs="Tahoma"/>
                <w:sz w:val="22"/>
                <w:szCs w:val="22"/>
              </w:rPr>
              <w:t xml:space="preserve"> sekä </w:t>
            </w:r>
            <w:r w:rsidR="003436D9" w:rsidRPr="003436D9">
              <w:rPr>
                <w:rFonts w:ascii="Tahoma" w:hAnsi="Tahoma" w:cs="Tahoma"/>
                <w:sz w:val="22"/>
                <w:szCs w:val="22"/>
              </w:rPr>
              <w:t>soveltaa tietoja ja taitoja</w:t>
            </w:r>
            <w:r w:rsidRPr="003436D9">
              <w:rPr>
                <w:rFonts w:ascii="Tahoma" w:hAnsi="Tahoma" w:cs="Tahoma"/>
                <w:sz w:val="22"/>
                <w:szCs w:val="22"/>
              </w:rPr>
              <w:t xml:space="preserve"> työelämässä. </w:t>
            </w:r>
          </w:p>
        </w:tc>
      </w:tr>
      <w:tr w:rsidR="00BB759E" w:rsidRPr="008D4205" w14:paraId="6930167B" w14:textId="77777777" w:rsidTr="009A1D7D">
        <w:tc>
          <w:tcPr>
            <w:tcW w:w="1901" w:type="dxa"/>
          </w:tcPr>
          <w:p w14:paraId="56F3A319" w14:textId="23394EA9"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Opinnäytetyö</w:t>
            </w:r>
            <w:proofErr w:type="spellEnd"/>
          </w:p>
        </w:tc>
        <w:tc>
          <w:tcPr>
            <w:tcW w:w="1600" w:type="dxa"/>
          </w:tcPr>
          <w:p w14:paraId="5BC4DA56" w14:textId="3EC366A7" w:rsidR="00BB759E" w:rsidRPr="008D4205" w:rsidRDefault="00BB759E" w:rsidP="006671F4">
            <w:pPr>
              <w:rPr>
                <w:rFonts w:ascii="Tahoma" w:hAnsi="Tahoma" w:cs="Tahoma"/>
                <w:color w:val="262626"/>
                <w:sz w:val="22"/>
                <w:szCs w:val="22"/>
                <w:lang w:val="en-US"/>
              </w:rPr>
            </w:pPr>
            <w:r w:rsidRPr="008D4205">
              <w:rPr>
                <w:rFonts w:ascii="Tahoma" w:hAnsi="Tahoma" w:cs="Tahoma"/>
                <w:color w:val="262626"/>
                <w:sz w:val="22"/>
                <w:szCs w:val="22"/>
                <w:lang w:val="en-US"/>
              </w:rPr>
              <w:t>15 op</w:t>
            </w:r>
          </w:p>
        </w:tc>
        <w:tc>
          <w:tcPr>
            <w:tcW w:w="6111" w:type="dxa"/>
          </w:tcPr>
          <w:p w14:paraId="29F8F06E" w14:textId="735258DD" w:rsidR="00BB759E" w:rsidRPr="003436D9" w:rsidRDefault="00147117" w:rsidP="006671F4">
            <w:pPr>
              <w:rPr>
                <w:rFonts w:ascii="Tahoma" w:hAnsi="Tahoma" w:cs="Tahoma"/>
                <w:color w:val="262626"/>
                <w:sz w:val="22"/>
                <w:szCs w:val="22"/>
              </w:rPr>
            </w:pPr>
            <w:r w:rsidRPr="008D4205">
              <w:rPr>
                <w:rFonts w:ascii="Tahoma" w:hAnsi="Tahoma" w:cs="Tahoma"/>
                <w:color w:val="262626"/>
                <w:sz w:val="22"/>
                <w:szCs w:val="22"/>
              </w:rPr>
              <w:t>Opin</w:t>
            </w:r>
            <w:r w:rsidR="003436D9">
              <w:rPr>
                <w:rFonts w:ascii="Tahoma" w:hAnsi="Tahoma" w:cs="Tahoma"/>
                <w:color w:val="262626"/>
                <w:sz w:val="22"/>
                <w:szCs w:val="22"/>
              </w:rPr>
              <w:t>n</w:t>
            </w:r>
            <w:r w:rsidRPr="008D4205">
              <w:rPr>
                <w:rFonts w:ascii="Tahoma" w:hAnsi="Tahoma" w:cs="Tahoma"/>
                <w:color w:val="262626"/>
                <w:sz w:val="22"/>
                <w:szCs w:val="22"/>
              </w:rPr>
              <w:t xml:space="preserve">äytetyö on opiskelijan työ- ja oppimisprosessi, jota asiantuntijat ohjaavat. </w:t>
            </w:r>
            <w:r w:rsidRPr="003436D9">
              <w:rPr>
                <w:rFonts w:ascii="Tahoma" w:hAnsi="Tahoma" w:cs="Tahoma"/>
                <w:color w:val="262626"/>
                <w:sz w:val="22"/>
                <w:szCs w:val="22"/>
              </w:rPr>
              <w:t>Opinnäytetyö tarjoaa mahdollisuuden soveltaa oppimaansa ja verkostoitua omalla ammattialalla.</w:t>
            </w:r>
          </w:p>
        </w:tc>
      </w:tr>
      <w:tr w:rsidR="00BB759E" w:rsidRPr="008D4205" w14:paraId="2411AF78" w14:textId="77777777" w:rsidTr="009A1D7D">
        <w:tc>
          <w:tcPr>
            <w:tcW w:w="1901" w:type="dxa"/>
          </w:tcPr>
          <w:p w14:paraId="74DB6BC2" w14:textId="688B6C87"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Valinnaiset</w:t>
            </w:r>
            <w:proofErr w:type="spellEnd"/>
            <w:r w:rsidRPr="008D4205">
              <w:rPr>
                <w:rFonts w:ascii="Tahoma" w:hAnsi="Tahoma" w:cs="Tahoma"/>
                <w:color w:val="262626"/>
                <w:sz w:val="22"/>
                <w:szCs w:val="22"/>
                <w:lang w:val="en-US"/>
              </w:rPr>
              <w:t xml:space="preserve"> </w:t>
            </w:r>
            <w:proofErr w:type="spellStart"/>
            <w:r w:rsidRPr="008D4205">
              <w:rPr>
                <w:rFonts w:ascii="Tahoma" w:hAnsi="Tahoma" w:cs="Tahoma"/>
                <w:color w:val="262626"/>
                <w:sz w:val="22"/>
                <w:szCs w:val="22"/>
                <w:lang w:val="en-US"/>
              </w:rPr>
              <w:t>opinnot</w:t>
            </w:r>
            <w:proofErr w:type="spellEnd"/>
          </w:p>
        </w:tc>
        <w:tc>
          <w:tcPr>
            <w:tcW w:w="1600" w:type="dxa"/>
          </w:tcPr>
          <w:p w14:paraId="20C1F414" w14:textId="610566F0" w:rsidR="00BB759E" w:rsidRPr="008D4205" w:rsidRDefault="009A1D7D" w:rsidP="006671F4">
            <w:pPr>
              <w:rPr>
                <w:rFonts w:ascii="Tahoma" w:hAnsi="Tahoma" w:cs="Tahoma"/>
                <w:color w:val="262626"/>
                <w:sz w:val="22"/>
                <w:szCs w:val="22"/>
                <w:lang w:val="en-US"/>
              </w:rPr>
            </w:pPr>
            <w:r w:rsidRPr="008D4205">
              <w:rPr>
                <w:rFonts w:ascii="Tahoma" w:hAnsi="Tahoma" w:cs="Tahoma"/>
                <w:color w:val="262626"/>
                <w:sz w:val="22"/>
                <w:szCs w:val="22"/>
                <w:lang w:val="en-US"/>
              </w:rPr>
              <w:t>30</w:t>
            </w:r>
            <w:r w:rsidR="00BB759E" w:rsidRPr="008D4205">
              <w:rPr>
                <w:rFonts w:ascii="Tahoma" w:hAnsi="Tahoma" w:cs="Tahoma"/>
                <w:color w:val="262626"/>
                <w:sz w:val="22"/>
                <w:szCs w:val="22"/>
                <w:lang w:val="en-US"/>
              </w:rPr>
              <w:t xml:space="preserve"> op</w:t>
            </w:r>
          </w:p>
        </w:tc>
        <w:tc>
          <w:tcPr>
            <w:tcW w:w="6111" w:type="dxa"/>
          </w:tcPr>
          <w:p w14:paraId="4BBD6DD2" w14:textId="7C716FAC" w:rsidR="00BB759E" w:rsidRPr="008D4205" w:rsidRDefault="00147117" w:rsidP="006671F4">
            <w:pPr>
              <w:rPr>
                <w:rFonts w:ascii="Tahoma" w:hAnsi="Tahoma" w:cs="Tahoma"/>
                <w:color w:val="262626"/>
                <w:sz w:val="22"/>
                <w:szCs w:val="22"/>
              </w:rPr>
            </w:pPr>
            <w:r w:rsidRPr="008D4205">
              <w:rPr>
                <w:rFonts w:ascii="Tahoma" w:hAnsi="Tahoma" w:cs="Tahoma"/>
                <w:color w:val="262626"/>
                <w:sz w:val="22"/>
                <w:szCs w:val="22"/>
              </w:rPr>
              <w:t>Valinnaiset opinnot suuntaavat ja tukevat asiantuntijuuden kehittymistä opiskelijan tarpeiden ja kiinnostuksen mukaan. Opiskelija voi valita opintoja myös Savonian yhteisistä opintokokonaisuuksista ja muista koulutusohjelmista tai sisällyttää tutkintoonsa muualla suoritettuja samantasoisia opintoja. Vapaasti valittavia opintoja (muita kuin matkailu- ja ravitsemisalan opintoja)</w:t>
            </w:r>
            <w:r w:rsidR="00C502D9" w:rsidRPr="008D4205">
              <w:rPr>
                <w:rFonts w:ascii="Tahoma" w:hAnsi="Tahoma" w:cs="Tahoma"/>
                <w:color w:val="262626"/>
                <w:sz w:val="22"/>
                <w:szCs w:val="22"/>
              </w:rPr>
              <w:t xml:space="preserve"> voi valinnaisista opinnoista olla enintään 15 op.</w:t>
            </w:r>
          </w:p>
        </w:tc>
      </w:tr>
      <w:tr w:rsidR="00BB759E" w:rsidRPr="008D4205" w14:paraId="00BD98FA" w14:textId="77777777" w:rsidTr="009A1D7D">
        <w:tc>
          <w:tcPr>
            <w:tcW w:w="1901" w:type="dxa"/>
          </w:tcPr>
          <w:p w14:paraId="4EE683B8" w14:textId="04A26D17" w:rsidR="00BB759E" w:rsidRPr="008D4205" w:rsidRDefault="00BB759E" w:rsidP="006671F4">
            <w:pPr>
              <w:rPr>
                <w:rFonts w:ascii="Tahoma" w:hAnsi="Tahoma" w:cs="Tahoma"/>
                <w:color w:val="262626"/>
                <w:sz w:val="22"/>
                <w:szCs w:val="22"/>
                <w:lang w:val="en-US"/>
              </w:rPr>
            </w:pPr>
            <w:proofErr w:type="spellStart"/>
            <w:r w:rsidRPr="008D4205">
              <w:rPr>
                <w:rFonts w:ascii="Tahoma" w:hAnsi="Tahoma" w:cs="Tahoma"/>
                <w:color w:val="262626"/>
                <w:sz w:val="22"/>
                <w:szCs w:val="22"/>
                <w:lang w:val="en-US"/>
              </w:rPr>
              <w:t>Yhteensä</w:t>
            </w:r>
            <w:proofErr w:type="spellEnd"/>
          </w:p>
        </w:tc>
        <w:tc>
          <w:tcPr>
            <w:tcW w:w="1600" w:type="dxa"/>
          </w:tcPr>
          <w:p w14:paraId="7C58180F" w14:textId="663FBCA8" w:rsidR="00BB759E" w:rsidRPr="008D4205" w:rsidRDefault="00BB759E" w:rsidP="006671F4">
            <w:pPr>
              <w:rPr>
                <w:rFonts w:ascii="Tahoma" w:hAnsi="Tahoma" w:cs="Tahoma"/>
                <w:color w:val="262626"/>
                <w:sz w:val="22"/>
                <w:szCs w:val="22"/>
                <w:lang w:val="en-US"/>
              </w:rPr>
            </w:pPr>
            <w:r w:rsidRPr="008D4205">
              <w:rPr>
                <w:rFonts w:ascii="Tahoma" w:hAnsi="Tahoma" w:cs="Tahoma"/>
                <w:color w:val="262626"/>
                <w:sz w:val="22"/>
                <w:szCs w:val="22"/>
                <w:lang w:val="en-US"/>
              </w:rPr>
              <w:t>210 op</w:t>
            </w:r>
          </w:p>
        </w:tc>
        <w:tc>
          <w:tcPr>
            <w:tcW w:w="6111" w:type="dxa"/>
          </w:tcPr>
          <w:p w14:paraId="5A9FFF11" w14:textId="77777777" w:rsidR="00BB759E" w:rsidRPr="008D4205" w:rsidRDefault="00BB759E" w:rsidP="006671F4">
            <w:pPr>
              <w:rPr>
                <w:rFonts w:ascii="Tahoma" w:hAnsi="Tahoma" w:cs="Tahoma"/>
                <w:color w:val="262626"/>
                <w:sz w:val="22"/>
                <w:szCs w:val="22"/>
                <w:lang w:val="en-US"/>
              </w:rPr>
            </w:pPr>
          </w:p>
        </w:tc>
      </w:tr>
    </w:tbl>
    <w:p w14:paraId="2AC9158E" w14:textId="77777777" w:rsidR="006671F4" w:rsidRDefault="006671F4" w:rsidP="00C26EFA">
      <w:pPr>
        <w:rPr>
          <w:rFonts w:ascii="Tahoma" w:hAnsi="Tahoma" w:cs="Tahoma"/>
          <w:color w:val="262626"/>
          <w:lang w:val="en-US"/>
        </w:rPr>
      </w:pPr>
    </w:p>
    <w:sectPr w:rsidR="006671F4" w:rsidSect="00340EC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1F36"/>
    <w:multiLevelType w:val="hybridMultilevel"/>
    <w:tmpl w:val="AE48A0F6"/>
    <w:lvl w:ilvl="0" w:tplc="B4883A30">
      <w:numFmt w:val="bullet"/>
      <w:lvlText w:val="-"/>
      <w:lvlJc w:val="left"/>
      <w:pPr>
        <w:ind w:left="720" w:hanging="360"/>
      </w:pPr>
      <w:rPr>
        <w:rFonts w:ascii="Tahoma" w:eastAsia="Tahom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22D5D06"/>
    <w:multiLevelType w:val="hybridMultilevel"/>
    <w:tmpl w:val="D700DB82"/>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1B32811"/>
    <w:multiLevelType w:val="hybridMultilevel"/>
    <w:tmpl w:val="FB32704A"/>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89"/>
    <w:rsid w:val="000663C2"/>
    <w:rsid w:val="000A26A4"/>
    <w:rsid w:val="000B3407"/>
    <w:rsid w:val="000E1CEB"/>
    <w:rsid w:val="00147117"/>
    <w:rsid w:val="001843B7"/>
    <w:rsid w:val="001A6ABA"/>
    <w:rsid w:val="001B0AD1"/>
    <w:rsid w:val="001D506C"/>
    <w:rsid w:val="001E11E0"/>
    <w:rsid w:val="001E4FBB"/>
    <w:rsid w:val="001F4710"/>
    <w:rsid w:val="001F51A9"/>
    <w:rsid w:val="0027471F"/>
    <w:rsid w:val="002C39BC"/>
    <w:rsid w:val="002F1CF2"/>
    <w:rsid w:val="00304D3D"/>
    <w:rsid w:val="00340ECB"/>
    <w:rsid w:val="003436D9"/>
    <w:rsid w:val="00356A9F"/>
    <w:rsid w:val="00382EB0"/>
    <w:rsid w:val="00444028"/>
    <w:rsid w:val="00452F38"/>
    <w:rsid w:val="00496C8C"/>
    <w:rsid w:val="004D1F12"/>
    <w:rsid w:val="0050639D"/>
    <w:rsid w:val="00536CC6"/>
    <w:rsid w:val="005714BA"/>
    <w:rsid w:val="0058737A"/>
    <w:rsid w:val="006152A0"/>
    <w:rsid w:val="00621A2A"/>
    <w:rsid w:val="00662F63"/>
    <w:rsid w:val="006671F4"/>
    <w:rsid w:val="007131BF"/>
    <w:rsid w:val="007B0B69"/>
    <w:rsid w:val="007B208A"/>
    <w:rsid w:val="007D5E3A"/>
    <w:rsid w:val="008111A7"/>
    <w:rsid w:val="008259BE"/>
    <w:rsid w:val="00842678"/>
    <w:rsid w:val="00873FF1"/>
    <w:rsid w:val="008D4205"/>
    <w:rsid w:val="009677D9"/>
    <w:rsid w:val="00983C6F"/>
    <w:rsid w:val="009A1D7D"/>
    <w:rsid w:val="00A2597D"/>
    <w:rsid w:val="00AB3685"/>
    <w:rsid w:val="00B8564F"/>
    <w:rsid w:val="00BB5326"/>
    <w:rsid w:val="00BB759E"/>
    <w:rsid w:val="00BF36F6"/>
    <w:rsid w:val="00C26EFA"/>
    <w:rsid w:val="00C502D9"/>
    <w:rsid w:val="00C86789"/>
    <w:rsid w:val="00CA7714"/>
    <w:rsid w:val="00CC14E7"/>
    <w:rsid w:val="00CF0C0A"/>
    <w:rsid w:val="00D31F07"/>
    <w:rsid w:val="00D32798"/>
    <w:rsid w:val="00D83B6F"/>
    <w:rsid w:val="00DB1ECA"/>
    <w:rsid w:val="00DB478C"/>
    <w:rsid w:val="00E307CF"/>
    <w:rsid w:val="00E553EC"/>
    <w:rsid w:val="00E559CA"/>
    <w:rsid w:val="00E6034B"/>
    <w:rsid w:val="00E75A38"/>
    <w:rsid w:val="00EA03C1"/>
    <w:rsid w:val="00F56F8C"/>
    <w:rsid w:val="00F6550E"/>
    <w:rsid w:val="00F86FB9"/>
    <w:rsid w:val="00FE5D7C"/>
    <w:rsid w:val="00FE6203"/>
    <w:rsid w:val="00FF4EA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F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2592">
      <w:bodyDiv w:val="1"/>
      <w:marLeft w:val="0"/>
      <w:marRight w:val="0"/>
      <w:marTop w:val="0"/>
      <w:marBottom w:val="0"/>
      <w:divBdr>
        <w:top w:val="none" w:sz="0" w:space="0" w:color="auto"/>
        <w:left w:val="none" w:sz="0" w:space="0" w:color="auto"/>
        <w:bottom w:val="none" w:sz="0" w:space="0" w:color="auto"/>
        <w:right w:val="none" w:sz="0" w:space="0" w:color="auto"/>
      </w:divBdr>
    </w:div>
    <w:div w:id="253704581">
      <w:bodyDiv w:val="1"/>
      <w:marLeft w:val="0"/>
      <w:marRight w:val="0"/>
      <w:marTop w:val="0"/>
      <w:marBottom w:val="0"/>
      <w:divBdr>
        <w:top w:val="none" w:sz="0" w:space="0" w:color="auto"/>
        <w:left w:val="none" w:sz="0" w:space="0" w:color="auto"/>
        <w:bottom w:val="none" w:sz="0" w:space="0" w:color="auto"/>
        <w:right w:val="none" w:sz="0" w:space="0" w:color="auto"/>
      </w:divBdr>
    </w:div>
    <w:div w:id="478619971">
      <w:bodyDiv w:val="1"/>
      <w:marLeft w:val="0"/>
      <w:marRight w:val="0"/>
      <w:marTop w:val="0"/>
      <w:marBottom w:val="0"/>
      <w:divBdr>
        <w:top w:val="none" w:sz="0" w:space="0" w:color="auto"/>
        <w:left w:val="none" w:sz="0" w:space="0" w:color="auto"/>
        <w:bottom w:val="none" w:sz="0" w:space="0" w:color="auto"/>
        <w:right w:val="none" w:sz="0" w:space="0" w:color="auto"/>
      </w:divBdr>
    </w:div>
    <w:div w:id="596981893">
      <w:bodyDiv w:val="1"/>
      <w:marLeft w:val="0"/>
      <w:marRight w:val="0"/>
      <w:marTop w:val="0"/>
      <w:marBottom w:val="0"/>
      <w:divBdr>
        <w:top w:val="none" w:sz="0" w:space="0" w:color="auto"/>
        <w:left w:val="none" w:sz="0" w:space="0" w:color="auto"/>
        <w:bottom w:val="none" w:sz="0" w:space="0" w:color="auto"/>
        <w:right w:val="none" w:sz="0" w:space="0" w:color="auto"/>
      </w:divBdr>
    </w:div>
    <w:div w:id="789083266">
      <w:bodyDiv w:val="1"/>
      <w:marLeft w:val="0"/>
      <w:marRight w:val="0"/>
      <w:marTop w:val="0"/>
      <w:marBottom w:val="0"/>
      <w:divBdr>
        <w:top w:val="none" w:sz="0" w:space="0" w:color="auto"/>
        <w:left w:val="none" w:sz="0" w:space="0" w:color="auto"/>
        <w:bottom w:val="none" w:sz="0" w:space="0" w:color="auto"/>
        <w:right w:val="none" w:sz="0" w:space="0" w:color="auto"/>
      </w:divBdr>
    </w:div>
    <w:div w:id="1314993725">
      <w:bodyDiv w:val="1"/>
      <w:marLeft w:val="0"/>
      <w:marRight w:val="0"/>
      <w:marTop w:val="0"/>
      <w:marBottom w:val="0"/>
      <w:divBdr>
        <w:top w:val="none" w:sz="0" w:space="0" w:color="auto"/>
        <w:left w:val="none" w:sz="0" w:space="0" w:color="auto"/>
        <w:bottom w:val="none" w:sz="0" w:space="0" w:color="auto"/>
        <w:right w:val="none" w:sz="0" w:space="0" w:color="auto"/>
      </w:divBdr>
    </w:div>
    <w:div w:id="1326544805">
      <w:bodyDiv w:val="1"/>
      <w:marLeft w:val="0"/>
      <w:marRight w:val="0"/>
      <w:marTop w:val="0"/>
      <w:marBottom w:val="0"/>
      <w:divBdr>
        <w:top w:val="none" w:sz="0" w:space="0" w:color="auto"/>
        <w:left w:val="none" w:sz="0" w:space="0" w:color="auto"/>
        <w:bottom w:val="none" w:sz="0" w:space="0" w:color="auto"/>
        <w:right w:val="none" w:sz="0" w:space="0" w:color="auto"/>
      </w:divBdr>
    </w:div>
    <w:div w:id="1747653165">
      <w:bodyDiv w:val="1"/>
      <w:marLeft w:val="0"/>
      <w:marRight w:val="0"/>
      <w:marTop w:val="0"/>
      <w:marBottom w:val="0"/>
      <w:divBdr>
        <w:top w:val="none" w:sz="0" w:space="0" w:color="auto"/>
        <w:left w:val="none" w:sz="0" w:space="0" w:color="auto"/>
        <w:bottom w:val="none" w:sz="0" w:space="0" w:color="auto"/>
        <w:right w:val="none" w:sz="0" w:space="0" w:color="auto"/>
      </w:divBdr>
    </w:div>
    <w:div w:id="1870337143">
      <w:bodyDiv w:val="1"/>
      <w:marLeft w:val="0"/>
      <w:marRight w:val="0"/>
      <w:marTop w:val="0"/>
      <w:marBottom w:val="0"/>
      <w:divBdr>
        <w:top w:val="none" w:sz="0" w:space="0" w:color="auto"/>
        <w:left w:val="none" w:sz="0" w:space="0" w:color="auto"/>
        <w:bottom w:val="none" w:sz="0" w:space="0" w:color="auto"/>
        <w:right w:val="none" w:sz="0" w:space="0" w:color="auto"/>
      </w:divBdr>
    </w:div>
    <w:div w:id="2116317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Kotimeili Lindén</dc:creator>
  <cp:lastModifiedBy>Maisa Haatainen</cp:lastModifiedBy>
  <cp:revision>3</cp:revision>
  <dcterms:created xsi:type="dcterms:W3CDTF">2014-02-27T11:22:00Z</dcterms:created>
  <dcterms:modified xsi:type="dcterms:W3CDTF">2014-02-27T11:30:00Z</dcterms:modified>
</cp:coreProperties>
</file>